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7672" w14:textId="0A086E12" w:rsidR="00F31FF1" w:rsidRPr="00F31FF1" w:rsidRDefault="00F31FF1" w:rsidP="00280BD5">
      <w:pPr>
        <w:pStyle w:val="Titel"/>
      </w:pPr>
      <w:r w:rsidRPr="00F31FF1">
        <w:t xml:space="preserve">VIA 6 </w:t>
      </w:r>
      <w:r w:rsidR="00280BD5">
        <w:t xml:space="preserve"> </w:t>
      </w:r>
      <w:r w:rsidRPr="00F31FF1">
        <w:t xml:space="preserve">- Deelakkoord kwaliteit en jobs </w:t>
      </w:r>
      <w:r>
        <w:t>o</w:t>
      </w:r>
      <w:r w:rsidRPr="00F31FF1">
        <w:t>uderenzorg</w:t>
      </w:r>
    </w:p>
    <w:p w14:paraId="655B8E96" w14:textId="77777777" w:rsidR="00280BD5" w:rsidRDefault="00280BD5" w:rsidP="00021B75"/>
    <w:p w14:paraId="7A429517" w14:textId="007360F7" w:rsidR="00F31FF1" w:rsidRDefault="00A501AA" w:rsidP="00021B75">
      <w:r>
        <w:t xml:space="preserve">Na het voorakkoord VIA6 </w:t>
      </w:r>
      <w:r w:rsidR="002B6B54">
        <w:t xml:space="preserve">dat eind november groen licht kreeg, </w:t>
      </w:r>
      <w:r w:rsidR="00FA36BE">
        <w:t>bereikten d</w:t>
      </w:r>
      <w:r w:rsidR="00F31FF1" w:rsidRPr="00F31FF1">
        <w:t>e sociale partners</w:t>
      </w:r>
      <w:r w:rsidR="00F31FF1">
        <w:t xml:space="preserve"> </w:t>
      </w:r>
      <w:r w:rsidR="00F533CE">
        <w:t xml:space="preserve">en de Vlaamse </w:t>
      </w:r>
      <w:r w:rsidR="006452A6">
        <w:t xml:space="preserve">regering </w:t>
      </w:r>
      <w:r w:rsidR="00F533CE">
        <w:t xml:space="preserve">een </w:t>
      </w:r>
      <w:r w:rsidR="00864C61">
        <w:t xml:space="preserve">akkoord </w:t>
      </w:r>
      <w:r w:rsidR="009240DD">
        <w:t xml:space="preserve">over </w:t>
      </w:r>
      <w:r w:rsidR="00C51CF5">
        <w:t xml:space="preserve">de invulling van het budget </w:t>
      </w:r>
      <w:r w:rsidR="009240DD">
        <w:t xml:space="preserve">kwalitatieve maatregelen en meer jobs in de ouderenzorg. </w:t>
      </w:r>
      <w:r w:rsidR="00D74032">
        <w:t>Hieronder lichten we</w:t>
      </w:r>
      <w:r w:rsidR="00EF1463">
        <w:t xml:space="preserve"> </w:t>
      </w:r>
      <w:r w:rsidR="001C700E">
        <w:t xml:space="preserve">het budgettaire kader en </w:t>
      </w:r>
      <w:r w:rsidR="00EF1463">
        <w:t xml:space="preserve">de </w:t>
      </w:r>
      <w:r w:rsidR="00154AFB">
        <w:t>belangrijkste</w:t>
      </w:r>
      <w:r w:rsidR="00684B62">
        <w:t xml:space="preserve"> maatregelen toe van het deelakkoord VIA6 – kwalitatieve maatregelen. </w:t>
      </w:r>
    </w:p>
    <w:p w14:paraId="2F4AC273" w14:textId="460D76DC" w:rsidR="00684B62" w:rsidRDefault="00417FA8" w:rsidP="00D769C2">
      <w:pPr>
        <w:pStyle w:val="Kop1"/>
        <w:numPr>
          <w:ilvl w:val="0"/>
          <w:numId w:val="10"/>
        </w:numPr>
      </w:pPr>
      <w:r>
        <w:t>Budgettaire kader</w:t>
      </w:r>
      <w:r w:rsidR="006452A6">
        <w:t xml:space="preserve"> (zie voorakkoord VIA6)</w:t>
      </w:r>
    </w:p>
    <w:p w14:paraId="37A893FA" w14:textId="6E3573A8" w:rsidR="009663ED" w:rsidRDefault="006F7F28" w:rsidP="00417FA8">
      <w:r>
        <w:t xml:space="preserve">De Vlaamse regering </w:t>
      </w:r>
      <w:r w:rsidR="00C45E7A">
        <w:t>voorziet</w:t>
      </w:r>
      <w:r w:rsidR="00E559E2">
        <w:t xml:space="preserve"> </w:t>
      </w:r>
      <w:r w:rsidR="00F454C1">
        <w:t>een budget van</w:t>
      </w:r>
      <w:r w:rsidR="00E559E2">
        <w:t xml:space="preserve"> </w:t>
      </w:r>
      <w:r w:rsidR="00DC61A1">
        <w:t>46</w:t>
      </w:r>
      <w:r w:rsidR="00E559E2">
        <w:t xml:space="preserve"> miljoen euro </w:t>
      </w:r>
      <w:r w:rsidR="00C45E7A">
        <w:t>voor</w:t>
      </w:r>
      <w:r w:rsidR="00580121">
        <w:t xml:space="preserve"> de </w:t>
      </w:r>
      <w:r w:rsidR="00F454C1">
        <w:t xml:space="preserve">uitwerking van kwalitatieve maatregelen voor de </w:t>
      </w:r>
      <w:r w:rsidR="00580121">
        <w:t>ouderenzorg</w:t>
      </w:r>
      <w:r w:rsidR="00C45E7A">
        <w:t xml:space="preserve">voorzieningen in Vlaanderen. </w:t>
      </w:r>
    </w:p>
    <w:p w14:paraId="322B4DF7" w14:textId="77777777" w:rsidR="009315B5" w:rsidRDefault="008860E7" w:rsidP="00417FA8">
      <w:pPr>
        <w:sectPr w:rsidR="009315B5">
          <w:pgSz w:w="11906" w:h="16838"/>
          <w:pgMar w:top="1417" w:right="1417" w:bottom="1417" w:left="1417" w:header="708" w:footer="708" w:gutter="0"/>
          <w:cols w:space="708"/>
          <w:docGrid w:linePitch="360"/>
        </w:sectPr>
      </w:pPr>
      <w:r>
        <w:t>Bovendien wordt h</w:t>
      </w:r>
      <w:r w:rsidR="000C6D41">
        <w:t>et</w:t>
      </w:r>
      <w:r w:rsidR="006C1EDB">
        <w:t xml:space="preserve"> </w:t>
      </w:r>
      <w:r w:rsidR="005B392B">
        <w:t>budget uitbreidingsbeleid</w:t>
      </w:r>
      <w:r w:rsidR="000C6D41">
        <w:t>,</w:t>
      </w:r>
      <w:r w:rsidR="005B392B">
        <w:t xml:space="preserve"> dat</w:t>
      </w:r>
      <w:r w:rsidR="00750A8E">
        <w:t xml:space="preserve"> </w:t>
      </w:r>
      <w:r w:rsidR="005B392B">
        <w:t xml:space="preserve">deze legislatuur </w:t>
      </w:r>
      <w:r w:rsidR="00DD0702">
        <w:t xml:space="preserve">op kruissnelheid </w:t>
      </w:r>
      <w:r w:rsidR="005B392B">
        <w:t xml:space="preserve">100 miljoen euro </w:t>
      </w:r>
      <w:r w:rsidR="00D3667D">
        <w:t>bedraagt</w:t>
      </w:r>
      <w:r w:rsidR="007B048C">
        <w:t xml:space="preserve"> voor de ouderenzorg</w:t>
      </w:r>
      <w:r w:rsidR="005B392B">
        <w:t xml:space="preserve">, </w:t>
      </w:r>
      <w:r w:rsidR="007D7B49">
        <w:t xml:space="preserve">en </w:t>
      </w:r>
      <w:r w:rsidR="009E5CC7">
        <w:t xml:space="preserve">al enkele jaren prioritair </w:t>
      </w:r>
      <w:r w:rsidR="00065AE7">
        <w:t xml:space="preserve">naar de verdeling van bijkomende erkenningen WZC </w:t>
      </w:r>
      <w:r w:rsidR="00841FC8">
        <w:t xml:space="preserve">gaat, </w:t>
      </w:r>
      <w:r>
        <w:t xml:space="preserve">toegevoegd aan de </w:t>
      </w:r>
      <w:r w:rsidR="00D570C6">
        <w:t xml:space="preserve">onderhandeling over een deelakkoord </w:t>
      </w:r>
      <w:r w:rsidR="0099197F">
        <w:t xml:space="preserve">kwaliteit in de ouderenzorg. </w:t>
      </w:r>
    </w:p>
    <w:p w14:paraId="1ACB5883" w14:textId="77F0827D" w:rsidR="005E0897" w:rsidRDefault="00E315AC" w:rsidP="00D769C2">
      <w:pPr>
        <w:pStyle w:val="Kop1"/>
        <w:numPr>
          <w:ilvl w:val="0"/>
          <w:numId w:val="10"/>
        </w:numPr>
      </w:pPr>
      <w:r>
        <w:lastRenderedPageBreak/>
        <w:t>Budgettaire maatregelen</w:t>
      </w:r>
    </w:p>
    <w:p w14:paraId="584E577E" w14:textId="28410040" w:rsidR="001F4082" w:rsidRPr="001F4082" w:rsidRDefault="00856E5B" w:rsidP="001F4082">
      <w:pPr>
        <w:pStyle w:val="Kop2"/>
        <w:numPr>
          <w:ilvl w:val="0"/>
          <w:numId w:val="11"/>
        </w:numPr>
      </w:pPr>
      <w:r>
        <w:t>Uitwerking</w:t>
      </w:r>
    </w:p>
    <w:p w14:paraId="42060918" w14:textId="2756D3FA" w:rsidR="00021B75" w:rsidRDefault="00021B75" w:rsidP="00021B75">
      <w:r>
        <w:t xml:space="preserve">Het </w:t>
      </w:r>
      <w:proofErr w:type="spellStart"/>
      <w:r w:rsidRPr="00DA1D4F">
        <w:rPr>
          <w:b/>
          <w:bCs/>
        </w:rPr>
        <w:t>recurrent</w:t>
      </w:r>
      <w:proofErr w:type="spellEnd"/>
      <w:r w:rsidRPr="00DA1D4F">
        <w:rPr>
          <w:b/>
          <w:bCs/>
        </w:rPr>
        <w:t xml:space="preserve"> budget uitbreidingsbeleid van 100 miljoen euro</w:t>
      </w:r>
      <w:r>
        <w:t xml:space="preserve"> wordt naar voren geschoven en laat toe om </w:t>
      </w:r>
      <w:r w:rsidRPr="00B97DFB">
        <w:rPr>
          <w:b/>
          <w:bCs/>
        </w:rPr>
        <w:t>vanaf 1 juli 2021</w:t>
      </w:r>
      <w:r>
        <w:t xml:space="preserve"> </w:t>
      </w:r>
      <w:bookmarkStart w:id="0" w:name="_Hlk67049678"/>
      <w:r>
        <w:t xml:space="preserve">de RVT financieringsnormen toe te passen op de zwaar zorgbehoevende bewoners (B, C, Cd) in </w:t>
      </w:r>
      <w:r w:rsidR="0043339A">
        <w:t xml:space="preserve">een woongelegenheid </w:t>
      </w:r>
      <w:r>
        <w:t xml:space="preserve">ROB en </w:t>
      </w:r>
      <w:r w:rsidR="0043339A">
        <w:t>kortverblijf</w:t>
      </w:r>
      <w:bookmarkEnd w:id="0"/>
      <w:r>
        <w:t xml:space="preserve">. </w:t>
      </w:r>
    </w:p>
    <w:p w14:paraId="7C97B289" w14:textId="3B15F185" w:rsidR="00021B75" w:rsidRDefault="00021B75" w:rsidP="00021B75">
      <w:r>
        <w:t xml:space="preserve">Daarnaast spraken </w:t>
      </w:r>
      <w:r w:rsidR="003720E5">
        <w:t>de sociale partners</w:t>
      </w:r>
      <w:r>
        <w:t xml:space="preserve"> ook volgende 2 maatregelen af met </w:t>
      </w:r>
      <w:r w:rsidR="00594295">
        <w:t xml:space="preserve">het voorziene budget van </w:t>
      </w:r>
      <w:r w:rsidR="003720E5">
        <w:t xml:space="preserve">46 </w:t>
      </w:r>
      <w:r w:rsidR="00594295">
        <w:t xml:space="preserve">miljoen euro. </w:t>
      </w:r>
    </w:p>
    <w:p w14:paraId="62A92349" w14:textId="34B22B4F" w:rsidR="00021B75" w:rsidRDefault="00ED5C79" w:rsidP="00021B75">
      <w:pPr>
        <w:pStyle w:val="Lijstalinea"/>
        <w:numPr>
          <w:ilvl w:val="0"/>
          <w:numId w:val="2"/>
        </w:numPr>
        <w:spacing w:after="0" w:line="240" w:lineRule="auto"/>
        <w:contextualSpacing w:val="0"/>
        <w:rPr>
          <w:rFonts w:eastAsia="Times New Roman"/>
        </w:rPr>
      </w:pPr>
      <w:r w:rsidRPr="001F4082">
        <w:rPr>
          <w:rFonts w:eastAsia="Times New Roman"/>
          <w:b/>
          <w:bCs/>
        </w:rPr>
        <w:t>stijging</w:t>
      </w:r>
      <w:r w:rsidR="00021B75" w:rsidRPr="001F4082">
        <w:rPr>
          <w:rFonts w:eastAsia="Times New Roman"/>
          <w:b/>
          <w:bCs/>
        </w:rPr>
        <w:t xml:space="preserve"> deel A2</w:t>
      </w:r>
      <w:r w:rsidR="00021B75">
        <w:rPr>
          <w:rFonts w:eastAsia="Times New Roman"/>
        </w:rPr>
        <w:t xml:space="preserve"> (financiering </w:t>
      </w:r>
      <w:proofErr w:type="spellStart"/>
      <w:r w:rsidR="00021B75">
        <w:rPr>
          <w:rFonts w:eastAsia="Times New Roman"/>
        </w:rPr>
        <w:t>bovennormpersoneel</w:t>
      </w:r>
      <w:proofErr w:type="spellEnd"/>
      <w:r w:rsidR="00021B75">
        <w:rPr>
          <w:rFonts w:eastAsia="Times New Roman"/>
        </w:rPr>
        <w:t>)</w:t>
      </w:r>
      <w:r>
        <w:rPr>
          <w:rFonts w:eastAsia="Times New Roman"/>
        </w:rPr>
        <w:t xml:space="preserve"> door een verhoging van </w:t>
      </w:r>
      <w:r w:rsidR="00021B75">
        <w:rPr>
          <w:rFonts w:eastAsia="Times New Roman"/>
        </w:rPr>
        <w:t xml:space="preserve">het maximale </w:t>
      </w:r>
      <w:r>
        <w:rPr>
          <w:rFonts w:eastAsia="Times New Roman"/>
        </w:rPr>
        <w:t>vergoedings</w:t>
      </w:r>
      <w:r w:rsidR="00021B75">
        <w:rPr>
          <w:rFonts w:eastAsia="Times New Roman"/>
        </w:rPr>
        <w:t>percentage van 13,5%</w:t>
      </w:r>
      <w:r>
        <w:rPr>
          <w:rFonts w:eastAsia="Times New Roman"/>
        </w:rPr>
        <w:t xml:space="preserve"> op het deel A1 </w:t>
      </w:r>
      <w:r w:rsidR="00021B75">
        <w:rPr>
          <w:rFonts w:eastAsia="Times New Roman"/>
        </w:rPr>
        <w:t xml:space="preserve">naar </w:t>
      </w:r>
      <w:r w:rsidR="00826D60">
        <w:rPr>
          <w:rFonts w:eastAsia="Times New Roman"/>
        </w:rPr>
        <w:t>maximaal</w:t>
      </w:r>
      <w:r w:rsidR="00021B75">
        <w:rPr>
          <w:rFonts w:eastAsia="Times New Roman"/>
        </w:rPr>
        <w:t xml:space="preserve"> 15</w:t>
      </w:r>
      <w:r w:rsidR="00826D60">
        <w:rPr>
          <w:rFonts w:eastAsia="Times New Roman"/>
        </w:rPr>
        <w:t>%</w:t>
      </w:r>
      <w:r>
        <w:rPr>
          <w:rFonts w:eastAsia="Times New Roman"/>
        </w:rPr>
        <w:t xml:space="preserve"> op het deel A1</w:t>
      </w:r>
      <w:r w:rsidR="00826D60">
        <w:rPr>
          <w:rFonts w:eastAsia="Times New Roman"/>
        </w:rPr>
        <w:t>;</w:t>
      </w:r>
    </w:p>
    <w:p w14:paraId="32344353" w14:textId="77777777" w:rsidR="00F75A2A" w:rsidRDefault="00F75A2A" w:rsidP="00F75A2A">
      <w:pPr>
        <w:pStyle w:val="Lijstalinea"/>
        <w:spacing w:after="0" w:line="240" w:lineRule="auto"/>
        <w:contextualSpacing w:val="0"/>
        <w:rPr>
          <w:rFonts w:eastAsia="Times New Roman"/>
        </w:rPr>
      </w:pPr>
    </w:p>
    <w:p w14:paraId="6E726BAD" w14:textId="7CBFD2FF" w:rsidR="00021B75" w:rsidRDefault="00ED5C79" w:rsidP="00021B75">
      <w:pPr>
        <w:pStyle w:val="Lijstalinea"/>
        <w:numPr>
          <w:ilvl w:val="0"/>
          <w:numId w:val="2"/>
        </w:numPr>
        <w:spacing w:after="0" w:line="240" w:lineRule="auto"/>
        <w:contextualSpacing w:val="0"/>
        <w:rPr>
          <w:rFonts w:eastAsia="Times New Roman"/>
        </w:rPr>
      </w:pPr>
      <w:r>
        <w:rPr>
          <w:rFonts w:eastAsia="Times New Roman"/>
        </w:rPr>
        <w:t>stijging</w:t>
      </w:r>
      <w:r w:rsidR="00B32314">
        <w:rPr>
          <w:rFonts w:eastAsia="Times New Roman"/>
        </w:rPr>
        <w:t xml:space="preserve"> deel A1 door </w:t>
      </w:r>
      <w:r>
        <w:rPr>
          <w:rFonts w:eastAsia="Times New Roman"/>
        </w:rPr>
        <w:t xml:space="preserve">een </w:t>
      </w:r>
      <w:r w:rsidRPr="001F4082">
        <w:rPr>
          <w:rFonts w:eastAsia="Times New Roman"/>
          <w:b/>
          <w:bCs/>
        </w:rPr>
        <w:t>verhoging van de</w:t>
      </w:r>
      <w:r w:rsidR="00021B75" w:rsidRPr="001F4082">
        <w:rPr>
          <w:rFonts w:eastAsia="Times New Roman"/>
          <w:b/>
          <w:bCs/>
        </w:rPr>
        <w:t xml:space="preserve"> financieringsnormen voor </w:t>
      </w:r>
      <w:r w:rsidR="00A836A1" w:rsidRPr="001F4082">
        <w:rPr>
          <w:rFonts w:eastAsia="Times New Roman"/>
          <w:b/>
          <w:bCs/>
        </w:rPr>
        <w:t>bewoners met een diagnose dementie</w:t>
      </w:r>
      <w:r w:rsidR="00A836A1">
        <w:rPr>
          <w:rFonts w:eastAsia="Times New Roman"/>
        </w:rPr>
        <w:t xml:space="preserve"> in het</w:t>
      </w:r>
      <w:r w:rsidR="00021B75">
        <w:rPr>
          <w:rFonts w:eastAsia="Times New Roman"/>
        </w:rPr>
        <w:t xml:space="preserve"> </w:t>
      </w:r>
      <w:r w:rsidR="00A836A1">
        <w:rPr>
          <w:rFonts w:eastAsia="Times New Roman"/>
        </w:rPr>
        <w:t xml:space="preserve">woonzorgcentrum en </w:t>
      </w:r>
      <w:r w:rsidR="00B32314">
        <w:rPr>
          <w:rFonts w:eastAsia="Times New Roman"/>
        </w:rPr>
        <w:t>kortverblijf</w:t>
      </w:r>
      <w:r w:rsidR="00021B75">
        <w:rPr>
          <w:rFonts w:eastAsia="Times New Roman"/>
        </w:rPr>
        <w:t xml:space="preserve"> van 6,45 VTE per 30 D bewoners naar 9 VTE per 30 D bewoners</w:t>
      </w:r>
      <w:r w:rsidR="00B32314">
        <w:rPr>
          <w:rFonts w:eastAsia="Times New Roman"/>
        </w:rPr>
        <w:t>.</w:t>
      </w:r>
    </w:p>
    <w:p w14:paraId="660E8389" w14:textId="77777777" w:rsidR="00087326" w:rsidRPr="00087326" w:rsidRDefault="00087326" w:rsidP="00087326">
      <w:pPr>
        <w:pStyle w:val="Lijstalinea"/>
        <w:spacing w:after="0" w:line="240" w:lineRule="auto"/>
        <w:contextualSpacing w:val="0"/>
        <w:rPr>
          <w:rFonts w:eastAsia="Times New Roman"/>
        </w:rPr>
      </w:pPr>
    </w:p>
    <w:p w14:paraId="53E4FD6D" w14:textId="77777777" w:rsidR="00D769C2" w:rsidRDefault="00021B75" w:rsidP="00021B75">
      <w:pPr>
        <w:sectPr w:rsidR="00D769C2">
          <w:pgSz w:w="11906" w:h="16838"/>
          <w:pgMar w:top="1417" w:right="1417" w:bottom="1417" w:left="1417" w:header="708" w:footer="708" w:gutter="0"/>
          <w:cols w:space="708"/>
          <w:docGrid w:linePitch="360"/>
        </w:sectPr>
      </w:pPr>
      <w:r>
        <w:t xml:space="preserve">In de periode 1 juli 2021 tot en met 31 december 2022 </w:t>
      </w:r>
      <w:r w:rsidR="00594295">
        <w:t>gebeurt</w:t>
      </w:r>
      <w:r>
        <w:t xml:space="preserve"> de financiering van deze hogere normen via een tijdelijk deel Z</w:t>
      </w:r>
      <w:r w:rsidR="00594295">
        <w:t>. V</w:t>
      </w:r>
      <w:r>
        <w:t>anaf 1 januari 2023</w:t>
      </w:r>
      <w:r w:rsidR="00550F5D">
        <w:t xml:space="preserve"> vallen de maatregelen in de </w:t>
      </w:r>
      <w:r w:rsidR="009F2991">
        <w:t>betreffende referentieperiode 1 juli 2021 – 30 juni 2022 en zijn ze inbegrepen in de berekening van de</w:t>
      </w:r>
      <w:r>
        <w:t xml:space="preserve"> basistegemoetkoming </w:t>
      </w:r>
      <w:r w:rsidR="009F2991">
        <w:t>voor</w:t>
      </w:r>
      <w:r>
        <w:t>zorg (BTZ). De berekening van de BTZ 2023 gebeurt per voorziening op basis van de personeelsinzet en zorgzwaarte tijdens de 4 kwartalen in de referentieperiode 1 juli 2021 tot en met 30 juni 2022.</w:t>
      </w:r>
    </w:p>
    <w:p w14:paraId="09F3FF1C" w14:textId="53517B04" w:rsidR="00E53645" w:rsidRDefault="00E53645" w:rsidP="00D769C2">
      <w:pPr>
        <w:pStyle w:val="Kop2"/>
        <w:numPr>
          <w:ilvl w:val="0"/>
          <w:numId w:val="11"/>
        </w:numPr>
      </w:pPr>
      <w:r>
        <w:lastRenderedPageBreak/>
        <w:t xml:space="preserve">Modaliteiten </w:t>
      </w:r>
    </w:p>
    <w:p w14:paraId="77E93C5D" w14:textId="3EB53238" w:rsidR="00D81E3D" w:rsidRDefault="00BD3BAC" w:rsidP="00D81E3D">
      <w:r>
        <w:t>H</w:t>
      </w:r>
      <w:r w:rsidR="00D81E3D">
        <w:t xml:space="preserve">et </w:t>
      </w:r>
      <w:proofErr w:type="spellStart"/>
      <w:r w:rsidR="00D81E3D">
        <w:t>recurrent</w:t>
      </w:r>
      <w:proofErr w:type="spellEnd"/>
      <w:r w:rsidR="00D81E3D">
        <w:t xml:space="preserve"> budget uitbreidingsbeleid </w:t>
      </w:r>
      <w:r w:rsidR="00F52CD8">
        <w:t xml:space="preserve">(hieronder RVT 100%) </w:t>
      </w:r>
      <w:r>
        <w:t>en</w:t>
      </w:r>
      <w:r w:rsidR="00D81E3D">
        <w:t xml:space="preserve"> het</w:t>
      </w:r>
      <w:r w:rsidR="00EF261F">
        <w:t xml:space="preserve"> extra</w:t>
      </w:r>
      <w:r w:rsidR="00D81E3D">
        <w:t xml:space="preserve"> </w:t>
      </w:r>
      <w:r w:rsidR="009A0648">
        <w:t>kwaliteits</w:t>
      </w:r>
      <w:r w:rsidR="00EF261F">
        <w:t>budget</w:t>
      </w:r>
      <w:r w:rsidR="009A0648">
        <w:t xml:space="preserve"> </w:t>
      </w:r>
      <w:r w:rsidR="00EF261F">
        <w:t xml:space="preserve">uit VIA6 </w:t>
      </w:r>
      <w:r w:rsidR="00FC7D96">
        <w:t>bied</w:t>
      </w:r>
      <w:r w:rsidR="00FA4491">
        <w:t>t</w:t>
      </w:r>
      <w:r w:rsidR="00FC7D96">
        <w:t xml:space="preserve"> </w:t>
      </w:r>
      <w:r w:rsidR="00FC7D96" w:rsidRPr="00717DC1">
        <w:rPr>
          <w:b/>
          <w:bCs/>
        </w:rPr>
        <w:t>een stimulans voor meer jobs in de ouderenzorg</w:t>
      </w:r>
      <w:r w:rsidR="00FA4491" w:rsidRPr="00717DC1">
        <w:rPr>
          <w:b/>
          <w:bCs/>
        </w:rPr>
        <w:t xml:space="preserve"> en </w:t>
      </w:r>
      <w:r w:rsidR="00717DC1" w:rsidRPr="00717DC1">
        <w:rPr>
          <w:b/>
          <w:bCs/>
        </w:rPr>
        <w:t>een verlaging van de werkdruk</w:t>
      </w:r>
      <w:r w:rsidR="00FC7D96">
        <w:t>.</w:t>
      </w:r>
    </w:p>
    <w:p w14:paraId="787959D5" w14:textId="67D02333" w:rsidR="00BD4DB5" w:rsidRDefault="00751D68" w:rsidP="00D81E3D">
      <w:r>
        <w:t>In h</w:t>
      </w:r>
      <w:r w:rsidR="003B225C">
        <w:t xml:space="preserve">et </w:t>
      </w:r>
      <w:r w:rsidR="00BD4DB5">
        <w:t xml:space="preserve">deelakkoord kwaliteit </w:t>
      </w:r>
      <w:r w:rsidR="00F35567">
        <w:t>worden</w:t>
      </w:r>
      <w:r>
        <w:t xml:space="preserve"> hierrond volgende afspraken gemaakt</w:t>
      </w:r>
      <w:r w:rsidR="00BD4DB5">
        <w:t xml:space="preserve">: </w:t>
      </w:r>
    </w:p>
    <w:p w14:paraId="36E33B10" w14:textId="3B5D492F" w:rsidR="00FA7E0F" w:rsidRDefault="00C01CE8" w:rsidP="00C01CE8">
      <w:pPr>
        <w:pStyle w:val="Lijstalinea"/>
        <w:numPr>
          <w:ilvl w:val="0"/>
          <w:numId w:val="15"/>
        </w:numPr>
      </w:pPr>
      <w:r>
        <w:t>Keuzemogelijkheden VIA5 vallen we</w:t>
      </w:r>
      <w:r w:rsidR="006A6072">
        <w:t>g</w:t>
      </w:r>
    </w:p>
    <w:p w14:paraId="46DAD5F0" w14:textId="04CD5D2E" w:rsidR="00FC7D96" w:rsidRDefault="00FC7D96" w:rsidP="006A6072">
      <w:pPr>
        <w:pStyle w:val="Lijstalinea"/>
        <w:spacing w:after="0" w:line="240" w:lineRule="auto"/>
        <w:contextualSpacing w:val="0"/>
        <w:rPr>
          <w:rFonts w:eastAsia="Times New Roman"/>
        </w:rPr>
      </w:pPr>
      <w:r>
        <w:rPr>
          <w:rFonts w:eastAsia="Times New Roman"/>
        </w:rPr>
        <w:t xml:space="preserve">De middelen voor de compensatie van de werkdruk en de kwaliteit worden ingezet voor </w:t>
      </w:r>
      <w:r w:rsidRPr="00C17B5D">
        <w:rPr>
          <w:rFonts w:eastAsia="Times New Roman"/>
          <w:b/>
          <w:bCs/>
        </w:rPr>
        <w:t>bijkomende tewerkstelling</w:t>
      </w:r>
      <w:r>
        <w:rPr>
          <w:rFonts w:eastAsia="Times New Roman"/>
        </w:rPr>
        <w:t>. De keuzemogelijkheden uit VIA 5 om de toenmalige bijkomende RVT middelen ook in te zetten voor een verlaging van de dagprijs of een vermindering van het verlies vallen weg.</w:t>
      </w:r>
    </w:p>
    <w:p w14:paraId="557C5DAA" w14:textId="77777777" w:rsidR="006A6072" w:rsidRDefault="006A6072" w:rsidP="006A6072">
      <w:pPr>
        <w:pStyle w:val="Lijstalinea"/>
        <w:spacing w:after="0" w:line="240" w:lineRule="auto"/>
        <w:contextualSpacing w:val="0"/>
        <w:rPr>
          <w:rFonts w:eastAsia="Times New Roman"/>
        </w:rPr>
      </w:pPr>
    </w:p>
    <w:p w14:paraId="34413CDC" w14:textId="3CED6CCB" w:rsidR="000F1B0B" w:rsidRDefault="00603CB5" w:rsidP="00BD2759">
      <w:pPr>
        <w:pStyle w:val="Lijstalinea"/>
        <w:numPr>
          <w:ilvl w:val="0"/>
          <w:numId w:val="15"/>
        </w:numPr>
        <w:spacing w:after="0" w:line="240" w:lineRule="auto"/>
        <w:contextualSpacing w:val="0"/>
        <w:rPr>
          <w:rFonts w:eastAsia="Times New Roman"/>
        </w:rPr>
      </w:pPr>
      <w:r>
        <w:rPr>
          <w:rFonts w:eastAsia="Times New Roman"/>
        </w:rPr>
        <w:t>Bijkomende tewerkstelling van zorgpersoneel of niet-zorgpersoneel</w:t>
      </w:r>
    </w:p>
    <w:p w14:paraId="338C3D0E" w14:textId="77777777" w:rsidR="0035137B" w:rsidRDefault="00252337" w:rsidP="008A32A4">
      <w:pPr>
        <w:pStyle w:val="Lijstalinea"/>
        <w:spacing w:after="0" w:line="240" w:lineRule="auto"/>
        <w:contextualSpacing w:val="0"/>
        <w:rPr>
          <w:rFonts w:eastAsia="Times New Roman"/>
        </w:rPr>
      </w:pPr>
      <w:r w:rsidRPr="00252337">
        <w:rPr>
          <w:rFonts w:eastAsia="Times New Roman"/>
        </w:rPr>
        <w:t xml:space="preserve">Indien een woonzorgcentrum of centrum voor (oriënterend) kortverblijf </w:t>
      </w:r>
      <w:r w:rsidRPr="00C17B5D">
        <w:rPr>
          <w:rFonts w:eastAsia="Times New Roman"/>
          <w:b/>
          <w:bCs/>
        </w:rPr>
        <w:t>reeds het personeel in dienst heeft</w:t>
      </w:r>
      <w:r w:rsidRPr="00252337">
        <w:rPr>
          <w:rFonts w:eastAsia="Times New Roman"/>
        </w:rPr>
        <w:t xml:space="preserve"> om te voldoen aan de stijging van het deel A1 en deel A2 dan kan men de middelen VIA 6 inzetten voor een </w:t>
      </w:r>
      <w:r w:rsidRPr="00C17B5D">
        <w:rPr>
          <w:rFonts w:eastAsia="Times New Roman"/>
          <w:b/>
          <w:bCs/>
        </w:rPr>
        <w:t>uitbreiding van het personeelskader op het vlak van zorgpersoneel of niet- zorgpersoneel</w:t>
      </w:r>
      <w:r w:rsidRPr="00252337">
        <w:rPr>
          <w:rFonts w:eastAsia="Times New Roman"/>
        </w:rPr>
        <w:t>.</w:t>
      </w:r>
    </w:p>
    <w:p w14:paraId="28617E5B" w14:textId="77777777" w:rsidR="0035137B" w:rsidRDefault="0035137B" w:rsidP="0035137B">
      <w:pPr>
        <w:pStyle w:val="Lijstalinea"/>
        <w:spacing w:after="0" w:line="240" w:lineRule="auto"/>
        <w:contextualSpacing w:val="0"/>
        <w:rPr>
          <w:rFonts w:eastAsia="Times New Roman"/>
        </w:rPr>
      </w:pPr>
    </w:p>
    <w:p w14:paraId="544E3074" w14:textId="260EFF36" w:rsidR="00FC7D96" w:rsidRDefault="00FC7D96" w:rsidP="0035137B">
      <w:pPr>
        <w:pStyle w:val="Lijstalinea"/>
        <w:spacing w:after="0" w:line="240" w:lineRule="auto"/>
        <w:contextualSpacing w:val="0"/>
        <w:rPr>
          <w:rFonts w:eastAsia="Times New Roman"/>
        </w:rPr>
      </w:pPr>
      <w:r>
        <w:rPr>
          <w:rFonts w:eastAsia="Times New Roman"/>
        </w:rPr>
        <w:t xml:space="preserve">Er wordt bij voorkeur gekozen voor de aanwerving van zorg- en welzijnskwalificaties met een bijzondere aandacht voor palliatieve zorg, infectieziektebestrijding en de woon- en </w:t>
      </w:r>
      <w:proofErr w:type="spellStart"/>
      <w:r>
        <w:rPr>
          <w:rFonts w:eastAsia="Times New Roman"/>
        </w:rPr>
        <w:t>leefbegeleiding</w:t>
      </w:r>
      <w:proofErr w:type="spellEnd"/>
      <w:r>
        <w:rPr>
          <w:rFonts w:eastAsia="Times New Roman"/>
        </w:rPr>
        <w:t xml:space="preserve"> en ondersteuning. </w:t>
      </w:r>
    </w:p>
    <w:p w14:paraId="3A2B6C9A" w14:textId="77777777" w:rsidR="000F1B0B" w:rsidRPr="000F1B0B" w:rsidRDefault="000F1B0B" w:rsidP="000F1B0B">
      <w:pPr>
        <w:spacing w:after="0" w:line="240" w:lineRule="auto"/>
        <w:rPr>
          <w:rFonts w:eastAsia="Times New Roman"/>
        </w:rPr>
      </w:pPr>
    </w:p>
    <w:p w14:paraId="26F57882" w14:textId="22F47A11" w:rsidR="00BD4B9F" w:rsidRDefault="002D7301" w:rsidP="00BD4B9F">
      <w:pPr>
        <w:pStyle w:val="Lijstalinea"/>
        <w:numPr>
          <w:ilvl w:val="0"/>
          <w:numId w:val="15"/>
        </w:numPr>
        <w:spacing w:after="0" w:line="240" w:lineRule="auto"/>
        <w:contextualSpacing w:val="0"/>
        <w:rPr>
          <w:rFonts w:eastAsia="Times New Roman"/>
        </w:rPr>
      </w:pPr>
      <w:r>
        <w:rPr>
          <w:rFonts w:eastAsia="Times New Roman"/>
        </w:rPr>
        <w:t>Lokaal sociaal overleg</w:t>
      </w:r>
    </w:p>
    <w:p w14:paraId="3E4D4711" w14:textId="585DF10E" w:rsidR="006D70A0" w:rsidRPr="00B333EB" w:rsidRDefault="00D95421" w:rsidP="00BD4B9F">
      <w:pPr>
        <w:pStyle w:val="Lijstalinea"/>
        <w:spacing w:after="0" w:line="240" w:lineRule="auto"/>
        <w:contextualSpacing w:val="0"/>
        <w:rPr>
          <w:rFonts w:eastAsia="Times New Roman"/>
        </w:rPr>
      </w:pPr>
      <w:r w:rsidRPr="00B333EB">
        <w:rPr>
          <w:rFonts w:eastAsia="Times New Roman"/>
        </w:rPr>
        <w:t>De</w:t>
      </w:r>
      <w:r w:rsidR="00FC7D96" w:rsidRPr="00B333EB">
        <w:rPr>
          <w:rFonts w:eastAsia="Times New Roman"/>
        </w:rPr>
        <w:t xml:space="preserve"> </w:t>
      </w:r>
      <w:r w:rsidR="00FC7D96" w:rsidRPr="000C4E67">
        <w:rPr>
          <w:rFonts w:eastAsia="Times New Roman"/>
        </w:rPr>
        <w:t>werkgever en de representatieve werknemersvertegenwoordiging</w:t>
      </w:r>
      <w:r w:rsidR="00FC7D96" w:rsidRPr="00B333EB">
        <w:rPr>
          <w:rFonts w:eastAsia="Times New Roman"/>
        </w:rPr>
        <w:t xml:space="preserve"> </w:t>
      </w:r>
      <w:r w:rsidR="002108D8" w:rsidRPr="00A810B7">
        <w:rPr>
          <w:rFonts w:eastAsia="Times New Roman"/>
          <w:b/>
          <w:bCs/>
        </w:rPr>
        <w:t>bespreken</w:t>
      </w:r>
      <w:r w:rsidR="002108D8" w:rsidRPr="00B333EB">
        <w:rPr>
          <w:rFonts w:eastAsia="Times New Roman"/>
        </w:rPr>
        <w:t xml:space="preserve"> </w:t>
      </w:r>
      <w:r w:rsidR="00FC7D96" w:rsidRPr="00B333EB">
        <w:rPr>
          <w:rFonts w:eastAsia="Times New Roman"/>
        </w:rPr>
        <w:t xml:space="preserve">de uitvoering van de uitbreiding van de tewerkstelling in het kader van VIA 6 in de ondernemingsraad of </w:t>
      </w:r>
      <w:r w:rsidR="00FC7D96" w:rsidRPr="00A810B7">
        <w:rPr>
          <w:rFonts w:eastAsia="Times New Roman"/>
          <w:b/>
          <w:bCs/>
        </w:rPr>
        <w:t>het bevoegde sociaal overlegorgaan in de publieke voorzieningen</w:t>
      </w:r>
      <w:r w:rsidR="00FC7D96" w:rsidRPr="00B333EB">
        <w:rPr>
          <w:rFonts w:eastAsia="Times New Roman"/>
        </w:rPr>
        <w:t xml:space="preserve">. </w:t>
      </w:r>
      <w:r w:rsidR="00DC3607" w:rsidRPr="00B333EB">
        <w:rPr>
          <w:rFonts w:eastAsia="Times New Roman"/>
        </w:rPr>
        <w:t xml:space="preserve">Beide partijen kunnen een voorstel ter bespreking voorbereiden. </w:t>
      </w:r>
    </w:p>
    <w:p w14:paraId="57AC73FA" w14:textId="77777777" w:rsidR="006F2CBA" w:rsidRDefault="006F2CBA" w:rsidP="006D70A0">
      <w:pPr>
        <w:pStyle w:val="Lijstalinea"/>
        <w:spacing w:after="0" w:line="240" w:lineRule="auto"/>
        <w:contextualSpacing w:val="0"/>
        <w:rPr>
          <w:rFonts w:eastAsia="Times New Roman"/>
        </w:rPr>
      </w:pPr>
    </w:p>
    <w:p w14:paraId="36AA388B" w14:textId="0DEA2F1E" w:rsidR="006C5800" w:rsidRDefault="00FC7D96" w:rsidP="006D70A0">
      <w:pPr>
        <w:pStyle w:val="Lijstalinea"/>
        <w:spacing w:after="0" w:line="240" w:lineRule="auto"/>
        <w:contextualSpacing w:val="0"/>
        <w:rPr>
          <w:rFonts w:eastAsia="Times New Roman"/>
        </w:rPr>
      </w:pPr>
      <w:r>
        <w:rPr>
          <w:rFonts w:eastAsia="Times New Roman"/>
        </w:rPr>
        <w:t xml:space="preserve">De werkgever verschaft voorafgaandelijk informatie over het budget voor aanwervingen. Daarbij wordt een onderscheid gemaakt tussen de middelen “RVT 100%” en de middelen vanuit het budget kwaliteit. </w:t>
      </w:r>
    </w:p>
    <w:p w14:paraId="6C1E3796" w14:textId="77777777" w:rsidR="006F2CBA" w:rsidRDefault="006F2CBA" w:rsidP="006D70A0">
      <w:pPr>
        <w:pStyle w:val="Lijstalinea"/>
        <w:spacing w:after="0" w:line="240" w:lineRule="auto"/>
        <w:contextualSpacing w:val="0"/>
        <w:rPr>
          <w:rFonts w:eastAsia="Times New Roman"/>
        </w:rPr>
      </w:pPr>
    </w:p>
    <w:p w14:paraId="748020B8" w14:textId="507469E6" w:rsidR="003E41EA" w:rsidRDefault="00FC7D96" w:rsidP="006D70A0">
      <w:pPr>
        <w:pStyle w:val="Lijstalinea"/>
        <w:spacing w:after="0" w:line="240" w:lineRule="auto"/>
        <w:contextualSpacing w:val="0"/>
        <w:rPr>
          <w:rFonts w:eastAsia="Times New Roman"/>
        </w:rPr>
      </w:pPr>
      <w:r>
        <w:rPr>
          <w:rFonts w:eastAsia="Times New Roman"/>
        </w:rPr>
        <w:t xml:space="preserve">Het eerste sociale overleg hierover gebeurt van zodra de beschikbare middelen bekend zijn. </w:t>
      </w:r>
    </w:p>
    <w:p w14:paraId="56A5C1EF" w14:textId="1D0F829C" w:rsidR="00FC7D96" w:rsidRDefault="00FC7D96" w:rsidP="006D70A0">
      <w:pPr>
        <w:pStyle w:val="Lijstalinea"/>
        <w:spacing w:after="0" w:line="240" w:lineRule="auto"/>
        <w:contextualSpacing w:val="0"/>
        <w:rPr>
          <w:rFonts w:eastAsia="Times New Roman"/>
          <w:i/>
          <w:iCs/>
        </w:rPr>
      </w:pPr>
      <w:r w:rsidRPr="003E41EA">
        <w:rPr>
          <w:rFonts w:eastAsia="Times New Roman"/>
          <w:i/>
          <w:iCs/>
        </w:rPr>
        <w:t>Dit zou bij omzendbrief nog verder verduidelijkt worden als: “eerstvolgend overlegmoment agenderen binnen één maand nadat beschikbare middelen bekend zijn.”</w:t>
      </w:r>
    </w:p>
    <w:p w14:paraId="27ECC311" w14:textId="77777777" w:rsidR="00606F36" w:rsidRDefault="00606F36" w:rsidP="006D70A0">
      <w:pPr>
        <w:pStyle w:val="Lijstalinea"/>
        <w:spacing w:after="0" w:line="240" w:lineRule="auto"/>
        <w:contextualSpacing w:val="0"/>
        <w:rPr>
          <w:rFonts w:eastAsia="Times New Roman"/>
        </w:rPr>
      </w:pPr>
    </w:p>
    <w:p w14:paraId="77125D48" w14:textId="3B06F81C" w:rsidR="0008253D" w:rsidRDefault="0008253D" w:rsidP="006D70A0">
      <w:pPr>
        <w:pStyle w:val="Lijstalinea"/>
        <w:spacing w:after="0" w:line="240" w:lineRule="auto"/>
        <w:contextualSpacing w:val="0"/>
        <w:rPr>
          <w:rFonts w:eastAsia="Times New Roman"/>
        </w:rPr>
      </w:pPr>
      <w:r>
        <w:rPr>
          <w:rFonts w:eastAsia="Times New Roman"/>
        </w:rPr>
        <w:t>De werkgever informeert het sociaal overlegorgaan op vaste tijdstippen over deze bijkomende personeelsinzet.</w:t>
      </w:r>
    </w:p>
    <w:p w14:paraId="15692750" w14:textId="77777777" w:rsidR="002A0436" w:rsidRPr="0008253D" w:rsidRDefault="002A0436" w:rsidP="006D70A0">
      <w:pPr>
        <w:pStyle w:val="Lijstalinea"/>
        <w:spacing w:after="0" w:line="240" w:lineRule="auto"/>
        <w:contextualSpacing w:val="0"/>
        <w:rPr>
          <w:rFonts w:eastAsia="Times New Roman"/>
        </w:rPr>
      </w:pPr>
    </w:p>
    <w:p w14:paraId="15B75F49" w14:textId="0282370B" w:rsidR="000F1B0B" w:rsidRDefault="00BA11ED" w:rsidP="002A0436">
      <w:pPr>
        <w:pStyle w:val="Lijstalinea"/>
        <w:numPr>
          <w:ilvl w:val="0"/>
          <w:numId w:val="15"/>
        </w:numPr>
        <w:spacing w:after="0" w:line="240" w:lineRule="auto"/>
        <w:contextualSpacing w:val="0"/>
        <w:rPr>
          <w:rFonts w:eastAsia="Times New Roman"/>
        </w:rPr>
      </w:pPr>
      <w:r>
        <w:rPr>
          <w:rFonts w:eastAsia="Times New Roman"/>
        </w:rPr>
        <w:t>Bewijslast</w:t>
      </w:r>
      <w:r w:rsidR="006E26B0">
        <w:rPr>
          <w:rFonts w:eastAsia="Times New Roman"/>
        </w:rPr>
        <w:t xml:space="preserve"> bijkomende aanwervingen</w:t>
      </w:r>
    </w:p>
    <w:p w14:paraId="2FAA9692" w14:textId="5D7DB6EB" w:rsidR="00021B75" w:rsidRDefault="00FC7D96" w:rsidP="002A0436">
      <w:pPr>
        <w:pStyle w:val="Lijstalinea"/>
        <w:spacing w:after="0" w:line="240" w:lineRule="auto"/>
        <w:contextualSpacing w:val="0"/>
        <w:rPr>
          <w:rFonts w:eastAsia="Times New Roman"/>
        </w:rPr>
      </w:pPr>
      <w:r>
        <w:rPr>
          <w:rFonts w:eastAsia="Times New Roman"/>
        </w:rPr>
        <w:t xml:space="preserve">Het overleg tussen de werkgever en de representatieve werknemersvertegenwoordiging resulteert in </w:t>
      </w:r>
      <w:r w:rsidRPr="00670F66">
        <w:rPr>
          <w:rFonts w:eastAsia="Times New Roman"/>
          <w:b/>
          <w:bCs/>
        </w:rPr>
        <w:t xml:space="preserve">een “overzicht” van bijkomende aanwervingen volgens </w:t>
      </w:r>
      <w:r w:rsidR="008F77A1" w:rsidRPr="00670F66">
        <w:rPr>
          <w:rFonts w:eastAsia="Times New Roman"/>
          <w:b/>
          <w:bCs/>
        </w:rPr>
        <w:t>het</w:t>
      </w:r>
      <w:r w:rsidRPr="00670F66">
        <w:rPr>
          <w:rFonts w:eastAsia="Times New Roman"/>
          <w:b/>
          <w:bCs/>
        </w:rPr>
        <w:t xml:space="preserve"> sjabloon dat aangereikt word</w:t>
      </w:r>
      <w:r w:rsidR="008F77A1" w:rsidRPr="00670F66">
        <w:rPr>
          <w:rFonts w:eastAsia="Times New Roman"/>
          <w:b/>
          <w:bCs/>
        </w:rPr>
        <w:t>t</w:t>
      </w:r>
      <w:r w:rsidRPr="00670F66">
        <w:rPr>
          <w:rFonts w:eastAsia="Times New Roman"/>
          <w:b/>
          <w:bCs/>
        </w:rPr>
        <w:t xml:space="preserve"> door het agentschap</w:t>
      </w:r>
      <w:r w:rsidR="00CB28F2">
        <w:rPr>
          <w:rFonts w:eastAsia="Times New Roman"/>
          <w:b/>
          <w:bCs/>
        </w:rPr>
        <w:t xml:space="preserve"> Zorg en Gezondheid</w:t>
      </w:r>
      <w:r w:rsidR="004742EC">
        <w:rPr>
          <w:rFonts w:eastAsia="Times New Roman"/>
        </w:rPr>
        <w:t xml:space="preserve"> (zie </w:t>
      </w:r>
      <w:r w:rsidR="00673C09">
        <w:rPr>
          <w:rFonts w:eastAsia="Times New Roman"/>
        </w:rPr>
        <w:t>bijlage achteraan deze nota</w:t>
      </w:r>
      <w:r w:rsidR="004742EC">
        <w:rPr>
          <w:rFonts w:eastAsia="Times New Roman"/>
        </w:rPr>
        <w:t>)</w:t>
      </w:r>
      <w:r>
        <w:rPr>
          <w:rFonts w:eastAsia="Times New Roman"/>
        </w:rPr>
        <w:t>.</w:t>
      </w:r>
    </w:p>
    <w:p w14:paraId="458AA5A0" w14:textId="77777777" w:rsidR="000F1B0B" w:rsidRPr="000F1B0B" w:rsidRDefault="000F1B0B" w:rsidP="008F77A1">
      <w:pPr>
        <w:pStyle w:val="Lijstalinea"/>
        <w:spacing w:after="0" w:line="240" w:lineRule="auto"/>
        <w:contextualSpacing w:val="0"/>
        <w:rPr>
          <w:rFonts w:eastAsia="Times New Roman"/>
        </w:rPr>
      </w:pPr>
    </w:p>
    <w:p w14:paraId="0A149B7A" w14:textId="77777777" w:rsidR="00BE3BA7" w:rsidRDefault="00021B75" w:rsidP="006E26B0">
      <w:pPr>
        <w:pStyle w:val="Lijstalinea"/>
        <w:spacing w:after="0" w:line="240" w:lineRule="auto"/>
        <w:contextualSpacing w:val="0"/>
        <w:rPr>
          <w:rFonts w:eastAsia="Times New Roman"/>
        </w:rPr>
        <w:sectPr w:rsidR="00BE3BA7">
          <w:pgSz w:w="11906" w:h="16838"/>
          <w:pgMar w:top="1417" w:right="1417" w:bottom="1417" w:left="1417" w:header="708" w:footer="708" w:gutter="0"/>
          <w:cols w:space="708"/>
          <w:docGrid w:linePitch="360"/>
        </w:sectPr>
      </w:pPr>
      <w:r>
        <w:rPr>
          <w:rFonts w:eastAsia="Times New Roman"/>
        </w:rPr>
        <w:t xml:space="preserve">Personeel dat extra is aangeworven </w:t>
      </w:r>
      <w:r w:rsidRPr="00670F66">
        <w:rPr>
          <w:rFonts w:eastAsia="Times New Roman"/>
          <w:b/>
          <w:bCs/>
        </w:rPr>
        <w:t>met een contract van onbepaalde duur</w:t>
      </w:r>
      <w:r>
        <w:rPr>
          <w:rFonts w:eastAsia="Times New Roman"/>
        </w:rPr>
        <w:t xml:space="preserve"> </w:t>
      </w:r>
      <w:r w:rsidRPr="00670F66">
        <w:rPr>
          <w:rFonts w:eastAsia="Times New Roman"/>
          <w:b/>
          <w:bCs/>
        </w:rPr>
        <w:t>tijdens de 6 maanden voorafgaand aan de toekenning van de bijkomende middelen</w:t>
      </w:r>
      <w:r>
        <w:rPr>
          <w:rFonts w:eastAsia="Times New Roman"/>
        </w:rPr>
        <w:t xml:space="preserve"> kan in aanmerking worden genomen als bijkomende tewerkstelling in zoverre dat n.a.v. het overleg deze aanwervingen werden toegevoegd aan het overzicht.</w:t>
      </w:r>
    </w:p>
    <w:p w14:paraId="2674912D" w14:textId="77777777" w:rsidR="008F77A1" w:rsidRDefault="008F77A1" w:rsidP="008F77A1">
      <w:pPr>
        <w:pStyle w:val="Lijstalinea"/>
        <w:spacing w:after="0" w:line="240" w:lineRule="auto"/>
        <w:contextualSpacing w:val="0"/>
        <w:rPr>
          <w:rFonts w:eastAsia="Times New Roman"/>
        </w:rPr>
      </w:pPr>
    </w:p>
    <w:p w14:paraId="57741591" w14:textId="52AF7CE0" w:rsidR="005A0907" w:rsidRDefault="00021B75" w:rsidP="006E26B0">
      <w:pPr>
        <w:pStyle w:val="Lijstalinea"/>
        <w:spacing w:after="0" w:line="240" w:lineRule="auto"/>
        <w:contextualSpacing w:val="0"/>
        <w:rPr>
          <w:rFonts w:eastAsia="Times New Roman"/>
        </w:rPr>
      </w:pPr>
      <w:r>
        <w:rPr>
          <w:rFonts w:eastAsia="Times New Roman"/>
        </w:rPr>
        <w:t xml:space="preserve">Het overzicht volgens het sjabloon </w:t>
      </w:r>
      <w:r w:rsidR="005B2048">
        <w:rPr>
          <w:rFonts w:eastAsia="Times New Roman"/>
        </w:rPr>
        <w:t>(</w:t>
      </w:r>
      <w:r w:rsidR="003D55FE">
        <w:rPr>
          <w:rFonts w:eastAsia="Times New Roman"/>
        </w:rPr>
        <w:t>zie bijlage achteraan deze nota)</w:t>
      </w:r>
      <w:r>
        <w:rPr>
          <w:rFonts w:eastAsia="Times New Roman"/>
        </w:rPr>
        <w:t xml:space="preserve"> wordt door de werkgever bezorgd aan de Vlaamse overheid. </w:t>
      </w:r>
    </w:p>
    <w:p w14:paraId="7258CF30" w14:textId="77777777" w:rsidR="00BE3BA7" w:rsidRDefault="00021B75" w:rsidP="005A0907">
      <w:pPr>
        <w:pStyle w:val="Lijstalinea"/>
        <w:spacing w:after="0" w:line="240" w:lineRule="auto"/>
        <w:contextualSpacing w:val="0"/>
        <w:rPr>
          <w:rFonts w:eastAsia="Times New Roman"/>
          <w:i/>
          <w:iCs/>
        </w:rPr>
      </w:pPr>
      <w:r w:rsidRPr="005A0907">
        <w:rPr>
          <w:rFonts w:eastAsia="Times New Roman"/>
          <w:i/>
          <w:iCs/>
        </w:rPr>
        <w:t xml:space="preserve">Op uitdrukkelijke vraag van de vakbonden zullen er 2 overzichten </w:t>
      </w:r>
      <w:r w:rsidR="00BE3BA7">
        <w:rPr>
          <w:rFonts w:eastAsia="Times New Roman"/>
          <w:i/>
          <w:iCs/>
        </w:rPr>
        <w:t xml:space="preserve">moeten worden </w:t>
      </w:r>
      <w:r w:rsidRPr="005A0907">
        <w:rPr>
          <w:rFonts w:eastAsia="Times New Roman"/>
          <w:i/>
          <w:iCs/>
        </w:rPr>
        <w:t xml:space="preserve">aangeleverd: </w:t>
      </w:r>
    </w:p>
    <w:p w14:paraId="35E22C48" w14:textId="56F5A24F" w:rsidR="00BE3BA7" w:rsidRDefault="00021B75" w:rsidP="005A0907">
      <w:pPr>
        <w:pStyle w:val="Lijstalinea"/>
        <w:spacing w:after="0" w:line="240" w:lineRule="auto"/>
        <w:contextualSpacing w:val="0"/>
        <w:rPr>
          <w:rFonts w:eastAsia="Times New Roman"/>
          <w:i/>
          <w:iCs/>
        </w:rPr>
      </w:pPr>
      <w:r w:rsidRPr="005A0907">
        <w:rPr>
          <w:rFonts w:eastAsia="Times New Roman"/>
          <w:i/>
          <w:iCs/>
        </w:rPr>
        <w:t>1) verantwoording besteding extra middelen n.a.v. maatregel 100% RVT</w:t>
      </w:r>
      <w:r w:rsidR="00BE3BA7">
        <w:rPr>
          <w:rFonts w:eastAsia="Times New Roman"/>
          <w:i/>
          <w:iCs/>
        </w:rPr>
        <w:t>;</w:t>
      </w:r>
    </w:p>
    <w:p w14:paraId="2FB1E866" w14:textId="5411471E" w:rsidR="00021B75" w:rsidRDefault="00021B75" w:rsidP="005A0907">
      <w:pPr>
        <w:pStyle w:val="Lijstalinea"/>
        <w:spacing w:after="0" w:line="240" w:lineRule="auto"/>
        <w:contextualSpacing w:val="0"/>
        <w:rPr>
          <w:rFonts w:eastAsia="Times New Roman"/>
          <w:i/>
          <w:iCs/>
        </w:rPr>
      </w:pPr>
      <w:r w:rsidRPr="005A0907">
        <w:rPr>
          <w:rFonts w:eastAsia="Times New Roman"/>
          <w:i/>
          <w:iCs/>
        </w:rPr>
        <w:t>2) verantwoording besteding extra middelen n.a.v. budget kwaliteit VIA6 (optrekken normen D bewoners en verhoging deel A2).</w:t>
      </w:r>
    </w:p>
    <w:p w14:paraId="4C3E4556" w14:textId="0BF6C04C" w:rsidR="009E0856" w:rsidRDefault="009E0856" w:rsidP="005A0907">
      <w:pPr>
        <w:pStyle w:val="Lijstalinea"/>
        <w:spacing w:after="0" w:line="240" w:lineRule="auto"/>
        <w:contextualSpacing w:val="0"/>
        <w:rPr>
          <w:rFonts w:eastAsia="Times New Roman"/>
          <w:i/>
          <w:iCs/>
        </w:rPr>
      </w:pPr>
    </w:p>
    <w:p w14:paraId="5D52EE95" w14:textId="7E353E18" w:rsidR="00673C09" w:rsidRDefault="00673C09" w:rsidP="00673C09">
      <w:pPr>
        <w:pStyle w:val="Lijstalinea"/>
        <w:numPr>
          <w:ilvl w:val="0"/>
          <w:numId w:val="15"/>
        </w:numPr>
        <w:spacing w:after="0" w:line="240" w:lineRule="auto"/>
        <w:contextualSpacing w:val="0"/>
        <w:rPr>
          <w:rFonts w:eastAsia="Times New Roman"/>
        </w:rPr>
      </w:pPr>
      <w:r>
        <w:rPr>
          <w:rFonts w:eastAsia="Times New Roman"/>
        </w:rPr>
        <w:t xml:space="preserve">Monitoring </w:t>
      </w:r>
      <w:r w:rsidR="005B2048">
        <w:rPr>
          <w:rFonts w:eastAsia="Times New Roman"/>
        </w:rPr>
        <w:t>tewerkstelling op sectorniveau</w:t>
      </w:r>
    </w:p>
    <w:p w14:paraId="34953278" w14:textId="77777777" w:rsidR="003D55FE" w:rsidRDefault="005C7302" w:rsidP="00673C09">
      <w:pPr>
        <w:pStyle w:val="Lijstalinea"/>
        <w:spacing w:after="0" w:line="240" w:lineRule="auto"/>
        <w:contextualSpacing w:val="0"/>
        <w:rPr>
          <w:rFonts w:eastAsia="Times New Roman"/>
        </w:rPr>
        <w:sectPr w:rsidR="003D55FE">
          <w:pgSz w:w="11906" w:h="16838"/>
          <w:pgMar w:top="1417" w:right="1417" w:bottom="1417" w:left="1417" w:header="708" w:footer="708" w:gutter="0"/>
          <w:cols w:space="708"/>
          <w:docGrid w:linePitch="360"/>
        </w:sectPr>
      </w:pPr>
      <w:r w:rsidRPr="005C7302">
        <w:rPr>
          <w:rFonts w:eastAsia="Times New Roman"/>
        </w:rPr>
        <w:t xml:space="preserve">De sociale partners en de Vlaamse overheid doen jaarlijks </w:t>
      </w:r>
      <w:r w:rsidRPr="000678EB">
        <w:rPr>
          <w:rFonts w:eastAsia="Times New Roman"/>
          <w:b/>
          <w:bCs/>
        </w:rPr>
        <w:t xml:space="preserve">een transparante monitoring op </w:t>
      </w:r>
      <w:r w:rsidR="008147A9">
        <w:rPr>
          <w:rFonts w:eastAsia="Times New Roman"/>
          <w:b/>
          <w:bCs/>
        </w:rPr>
        <w:t>sectorniveau</w:t>
      </w:r>
      <w:r w:rsidRPr="000678EB">
        <w:rPr>
          <w:rFonts w:eastAsia="Times New Roman"/>
          <w:b/>
          <w:bCs/>
        </w:rPr>
        <w:t xml:space="preserve"> </w:t>
      </w:r>
      <w:r w:rsidRPr="005C7302">
        <w:rPr>
          <w:rFonts w:eastAsia="Times New Roman"/>
        </w:rPr>
        <w:t xml:space="preserve">van de evolutie van de tewerkstelling </w:t>
      </w:r>
      <w:r w:rsidR="00E648E0">
        <w:rPr>
          <w:rFonts w:eastAsia="Times New Roman"/>
        </w:rPr>
        <w:t xml:space="preserve">en van de inzet van de bijkomende tewerkstelling </w:t>
      </w:r>
      <w:r w:rsidRPr="005C7302">
        <w:rPr>
          <w:rFonts w:eastAsia="Times New Roman"/>
        </w:rPr>
        <w:t xml:space="preserve">in de VIA 6 sectoren. </w:t>
      </w:r>
    </w:p>
    <w:p w14:paraId="5DD860AC" w14:textId="47E7856E" w:rsidR="00021B75" w:rsidRDefault="009A5174" w:rsidP="00E53A8E">
      <w:pPr>
        <w:pStyle w:val="Kop1"/>
        <w:numPr>
          <w:ilvl w:val="0"/>
          <w:numId w:val="10"/>
        </w:numPr>
      </w:pPr>
      <w:r w:rsidRPr="009A5174">
        <w:lastRenderedPageBreak/>
        <w:t>Overige maatregelen</w:t>
      </w:r>
    </w:p>
    <w:p w14:paraId="47EF73C3" w14:textId="5537EB68" w:rsidR="009A5174" w:rsidRPr="009A5174" w:rsidRDefault="00AD510E" w:rsidP="00E53A8E">
      <w:pPr>
        <w:pStyle w:val="Kop2"/>
        <w:numPr>
          <w:ilvl w:val="0"/>
          <w:numId w:val="13"/>
        </w:numPr>
      </w:pPr>
      <w:r>
        <w:t>Uitbreiding flexibiliteit</w:t>
      </w:r>
    </w:p>
    <w:p w14:paraId="5C281AA0" w14:textId="5F7347CD" w:rsidR="00856E5B" w:rsidRDefault="00856E5B" w:rsidP="00856E5B">
      <w:r>
        <w:t xml:space="preserve">Het akkoord omvat enkele </w:t>
      </w:r>
      <w:r w:rsidR="00F41756">
        <w:t>intenties</w:t>
      </w:r>
      <w:r>
        <w:t xml:space="preserve"> die de toepassing van de flexibiliteitsregels ten goede komen</w:t>
      </w:r>
      <w:r w:rsidR="00F41756">
        <w:t>:</w:t>
      </w:r>
    </w:p>
    <w:p w14:paraId="4B84870C" w14:textId="77777777" w:rsidR="00856E5B" w:rsidRDefault="00856E5B" w:rsidP="00856E5B">
      <w:r>
        <w:t xml:space="preserve">“1) Wanneer 1 VTE verpleegkundige wordt vervangen door 1 VTE personeel voor reactivering, willen we éénzelfde loonkostvergoeding behouden (dus inclusief de </w:t>
      </w:r>
      <w:proofErr w:type="spellStart"/>
      <w:r>
        <w:t>meerkost</w:t>
      </w:r>
      <w:proofErr w:type="spellEnd"/>
      <w:r>
        <w:t xml:space="preserve"> van onregelmatige prestaties); </w:t>
      </w:r>
    </w:p>
    <w:p w14:paraId="363DC55B" w14:textId="77777777" w:rsidR="00856E5B" w:rsidRDefault="00856E5B" w:rsidP="00856E5B">
      <w:r>
        <w:t xml:space="preserve">2) 1 VTE verpleegkundige willen we kunnen vervangen door 1,2 VTE zorgkundige binnen de berekening van de basistegemoetkoming zorg, gezien de zorgkundigen een lagere loonkost hebben dan verpleegkundigen; </w:t>
      </w:r>
    </w:p>
    <w:p w14:paraId="3AB56673" w14:textId="1826DF44" w:rsidR="00856E5B" w:rsidRDefault="00856E5B" w:rsidP="00021B75">
      <w:r>
        <w:t>3) we wensen de norm K/E/L en de norm personeel voor reactivering samen te voegen tot 1 norm personeel voor reactivering. Zodoende stijgt de flexibiliteit binnen de norm personeel voor reactivering aanzienlijk. Evenwel dient er voldoende aanwezigheid van kinesisten, ergotherapeuten en logopedisten gewaarborgd te blijven om te voldoen aan de specifieke zorg en ondersteuningsnoden van de bewoners. Ook de zorg- en welzijnsdiploma’s die kunnen gelden als personeel voor reactivering worden uitgebreid.</w:t>
      </w:r>
    </w:p>
    <w:p w14:paraId="7FA44E64" w14:textId="77777777" w:rsidR="00B5363E" w:rsidRDefault="00B5363E" w:rsidP="003E0284">
      <w:pPr>
        <w:pStyle w:val="Kop2"/>
        <w:numPr>
          <w:ilvl w:val="0"/>
          <w:numId w:val="13"/>
        </w:numPr>
      </w:pPr>
      <w:r w:rsidRPr="00B5363E">
        <w:t xml:space="preserve">Versterking van de kwaliteit en toezicht op de kwaliteit in de residentiële ouderenzorg </w:t>
      </w:r>
    </w:p>
    <w:p w14:paraId="2F09BC2F" w14:textId="77777777" w:rsidR="00B23C62" w:rsidRDefault="00C36DFF" w:rsidP="008150B9">
      <w:r w:rsidRPr="00C36DFF">
        <w:t xml:space="preserve">De Vlaamse overheid wil de kwaliteit van het wonen, het leven en de zorg voor de bewoners en hun mentaal welbevinden verder versterken en vraagt de sector om acties te ondernemen rond transparante kwaliteitsindicatoren, kwaliteitsmethoden en bevragingen. Zij voorziet hiervoor minstens 2 miljoen euro (vanuit het plan Vlaamse veerkracht). Deze acties krijgen o.a. vorm en worden ondersteund door het Vlaams Instituut voor Kwaliteit van Zorg. </w:t>
      </w:r>
    </w:p>
    <w:p w14:paraId="77401123" w14:textId="47AC10B5" w:rsidR="008150B9" w:rsidRDefault="008150B9" w:rsidP="008150B9">
      <w:r>
        <w:t>Verder worden volgende afspraken gemaakt:</w:t>
      </w:r>
    </w:p>
    <w:p w14:paraId="44A84A27" w14:textId="4221F5F4" w:rsidR="00860D5D" w:rsidRDefault="008150B9" w:rsidP="008150B9">
      <w:pPr>
        <w:pStyle w:val="Lijstalinea"/>
        <w:numPr>
          <w:ilvl w:val="0"/>
          <w:numId w:val="9"/>
        </w:numPr>
      </w:pPr>
      <w:r>
        <w:t xml:space="preserve">De Vlaamse </w:t>
      </w:r>
      <w:r w:rsidR="00213111">
        <w:t>regering</w:t>
      </w:r>
      <w:r>
        <w:t xml:space="preserve"> en de sociale partners engageren zich om in te zetten op positieve beeldvorming over ouderen en ouderenzorg. We versterken deze inspanningen vanuit het actieplan </w:t>
      </w:r>
      <w:r w:rsidR="00C6354B">
        <w:t>“</w:t>
      </w:r>
      <w:r>
        <w:t>Vlaamse Veerkracht</w:t>
      </w:r>
      <w:r w:rsidR="00C6354B">
        <w:t>”</w:t>
      </w:r>
      <w:r>
        <w:t>.</w:t>
      </w:r>
    </w:p>
    <w:p w14:paraId="164F7F27" w14:textId="77777777" w:rsidR="00860D5D" w:rsidRDefault="00860D5D" w:rsidP="00860D5D">
      <w:pPr>
        <w:pStyle w:val="Lijstalinea"/>
      </w:pPr>
    </w:p>
    <w:p w14:paraId="0B243A82" w14:textId="077D94D6" w:rsidR="00A96648" w:rsidRDefault="008150B9" w:rsidP="008150B9">
      <w:pPr>
        <w:pStyle w:val="Lijstalinea"/>
        <w:numPr>
          <w:ilvl w:val="0"/>
          <w:numId w:val="9"/>
        </w:numPr>
      </w:pPr>
      <w:r>
        <w:t xml:space="preserve">In opvolging van het Vlaams Regeerakkoord wordt </w:t>
      </w:r>
      <w:r w:rsidR="00D438E6">
        <w:t xml:space="preserve">in uitvoering van het Woonzorgdecreet </w:t>
      </w:r>
      <w:r>
        <w:t>werk gemaakt van een sectorspecifieke transparante boekhouding, met respect voor de diversiteit in juridische organisatiestatuten, de schaalgrootte van het woonzorgcentrum en hieraan gekoppelde wettelijke kaders en, daarbij aansluitend, het onderscheid tussen woon-, leef- en zorgkost.</w:t>
      </w:r>
    </w:p>
    <w:p w14:paraId="7FD097FE" w14:textId="77777777" w:rsidR="00A96648" w:rsidRDefault="00A96648" w:rsidP="00A96648">
      <w:pPr>
        <w:pStyle w:val="Lijstalinea"/>
      </w:pPr>
    </w:p>
    <w:p w14:paraId="252BEA24" w14:textId="77777777" w:rsidR="00A96648" w:rsidRDefault="008150B9" w:rsidP="008150B9">
      <w:pPr>
        <w:pStyle w:val="Lijstalinea"/>
        <w:numPr>
          <w:ilvl w:val="0"/>
          <w:numId w:val="9"/>
        </w:numPr>
      </w:pPr>
      <w:r>
        <w:t xml:space="preserve">Jaarlijks formuleert elk woonzorgcentrum specifieke kwaliteitsdoelstellingen in het kwaliteitsplan en jaarverslag. Over het bereiken van deze doelstellingen en de verbeter- en borgtrajecten wordt gerapporteerd aan de bewoners (gebruikersraad) en Raad van Bestuur. </w:t>
      </w:r>
    </w:p>
    <w:p w14:paraId="55475FCE" w14:textId="77777777" w:rsidR="00A96648" w:rsidRDefault="00A96648" w:rsidP="00A96648">
      <w:pPr>
        <w:pStyle w:val="Lijstalinea"/>
      </w:pPr>
    </w:p>
    <w:p w14:paraId="76D4E2AD" w14:textId="56FC1DAF" w:rsidR="000F1B0B" w:rsidRDefault="008150B9" w:rsidP="008150B9">
      <w:pPr>
        <w:pStyle w:val="Lijstalinea"/>
        <w:numPr>
          <w:ilvl w:val="0"/>
          <w:numId w:val="9"/>
        </w:numPr>
      </w:pPr>
      <w:r>
        <w:t>Zorginspectie en het Agentschap Zorg en Gezondheid onderzoeken de juridische en praktische mogelijkheid om de handhaving te versterken binnen het huidige regelgevende kader of passen hiertoe de uitvoeringsbesluiten aan.</w:t>
      </w:r>
    </w:p>
    <w:p w14:paraId="5F3C12BA" w14:textId="77777777" w:rsidR="003D55FE" w:rsidRDefault="003D55FE" w:rsidP="000F1B0B">
      <w:pPr>
        <w:sectPr w:rsidR="003D55FE">
          <w:pgSz w:w="11906" w:h="16838"/>
          <w:pgMar w:top="1417" w:right="1417" w:bottom="1417" w:left="1417" w:header="708" w:footer="708" w:gutter="0"/>
          <w:cols w:space="708"/>
          <w:docGrid w:linePitch="360"/>
        </w:sectPr>
      </w:pPr>
    </w:p>
    <w:p w14:paraId="1EA747D5" w14:textId="0390E1E5" w:rsidR="003D55FE" w:rsidRDefault="003D55FE" w:rsidP="003D55FE">
      <w:r>
        <w:lastRenderedPageBreak/>
        <w:t>BIJLAGE</w:t>
      </w:r>
      <w:r w:rsidR="006A5E51">
        <w:t>: SJABLOON BEWIJSLAST BIJKOMENDE AANWERVINGEN</w:t>
      </w:r>
    </w:p>
    <w:p w14:paraId="127B7D30" w14:textId="77777777" w:rsidR="003D55FE" w:rsidRDefault="003D55FE" w:rsidP="003D55FE">
      <w:pPr>
        <w:ind w:left="720"/>
        <w:rPr>
          <w:b/>
          <w:bCs/>
        </w:rPr>
      </w:pPr>
      <w:r>
        <w:rPr>
          <w:b/>
          <w:bCs/>
        </w:rPr>
        <w:t>“100% RVT”: Het WZC voldoet niet aan de verhoogde personeelsnormen op 1 juli 2021</w:t>
      </w:r>
    </w:p>
    <w:p w14:paraId="267E66DE" w14:textId="77777777" w:rsidR="003D55FE" w:rsidRDefault="003D55FE" w:rsidP="003D55FE">
      <w:r>
        <w:t>De middelen voor de compensatie van de gestegen zorgzwaarte en werkdruk worden ingezet voor volgende bijkomende tewerkstelling, conform de personeelsnormen. Hierbij worden volgende elementen meegenomen in de beslissing:</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6"/>
        <w:gridCol w:w="1701"/>
        <w:gridCol w:w="1984"/>
        <w:gridCol w:w="1842"/>
        <w:gridCol w:w="1842"/>
      </w:tblGrid>
      <w:tr w:rsidR="003D55FE" w14:paraId="12080733" w14:textId="77777777" w:rsidTr="00D359F8">
        <w:tc>
          <w:tcPr>
            <w:tcW w:w="2097" w:type="dxa"/>
            <w:tcMar>
              <w:top w:w="0" w:type="dxa"/>
              <w:left w:w="108" w:type="dxa"/>
              <w:bottom w:w="0" w:type="dxa"/>
              <w:right w:w="108" w:type="dxa"/>
            </w:tcMar>
          </w:tcPr>
          <w:p w14:paraId="5A3D109D" w14:textId="77777777" w:rsidR="003D55FE" w:rsidRDefault="003D55FE" w:rsidP="00D359F8">
            <w:r>
              <w:t>Personeelscategorie:</w:t>
            </w:r>
          </w:p>
          <w:p w14:paraId="73B33930" w14:textId="77777777" w:rsidR="003D55FE" w:rsidRDefault="003D55FE" w:rsidP="00D359F8"/>
        </w:tc>
        <w:tc>
          <w:tcPr>
            <w:tcW w:w="1701" w:type="dxa"/>
            <w:tcMar>
              <w:top w:w="0" w:type="dxa"/>
              <w:left w:w="108" w:type="dxa"/>
              <w:bottom w:w="0" w:type="dxa"/>
              <w:right w:w="108" w:type="dxa"/>
            </w:tcMar>
            <w:hideMark/>
          </w:tcPr>
          <w:p w14:paraId="3DA5E4B1" w14:textId="77777777" w:rsidR="003D55FE" w:rsidRDefault="003D55FE" w:rsidP="00D359F8">
            <w:r>
              <w:t>VTE</w:t>
            </w:r>
          </w:p>
        </w:tc>
        <w:tc>
          <w:tcPr>
            <w:tcW w:w="1984" w:type="dxa"/>
            <w:tcMar>
              <w:top w:w="0" w:type="dxa"/>
              <w:left w:w="108" w:type="dxa"/>
              <w:bottom w:w="0" w:type="dxa"/>
              <w:right w:w="108" w:type="dxa"/>
            </w:tcMar>
            <w:hideMark/>
          </w:tcPr>
          <w:p w14:paraId="204336B1" w14:textId="77777777" w:rsidR="003D55FE" w:rsidRDefault="003D55FE" w:rsidP="00D359F8">
            <w:r>
              <w:t>verhogen van de contractuele arbeidsduur van medewerkers (ja/neen/beide: verduidelijkt)</w:t>
            </w:r>
          </w:p>
        </w:tc>
        <w:tc>
          <w:tcPr>
            <w:tcW w:w="1842" w:type="dxa"/>
            <w:tcMar>
              <w:top w:w="0" w:type="dxa"/>
              <w:left w:w="108" w:type="dxa"/>
              <w:bottom w:w="0" w:type="dxa"/>
              <w:right w:w="108" w:type="dxa"/>
            </w:tcMar>
            <w:hideMark/>
          </w:tcPr>
          <w:p w14:paraId="4D95D65A" w14:textId="77777777" w:rsidR="003D55FE" w:rsidRDefault="003D55FE" w:rsidP="00D359F8">
            <w:r>
              <w:t xml:space="preserve">Geplande aanwerving </w:t>
            </w:r>
            <w:proofErr w:type="spellStart"/>
            <w:r>
              <w:t>vòòr</w:t>
            </w:r>
            <w:proofErr w:type="spellEnd"/>
            <w:r>
              <w:t xml:space="preserve"> 1 juli 2021</w:t>
            </w:r>
          </w:p>
        </w:tc>
        <w:tc>
          <w:tcPr>
            <w:tcW w:w="1842" w:type="dxa"/>
            <w:tcMar>
              <w:top w:w="0" w:type="dxa"/>
              <w:left w:w="108" w:type="dxa"/>
              <w:bottom w:w="0" w:type="dxa"/>
              <w:right w:w="108" w:type="dxa"/>
            </w:tcMar>
            <w:hideMark/>
          </w:tcPr>
          <w:p w14:paraId="084D216D" w14:textId="77777777" w:rsidR="003D55FE" w:rsidRDefault="003D55FE" w:rsidP="00D359F8">
            <w:r>
              <w:t>Geplande aanwerving na 1 juli 2021</w:t>
            </w:r>
          </w:p>
        </w:tc>
      </w:tr>
      <w:tr w:rsidR="003D55FE" w14:paraId="75A1526A" w14:textId="77777777" w:rsidTr="00D359F8">
        <w:tc>
          <w:tcPr>
            <w:tcW w:w="2097" w:type="dxa"/>
            <w:tcMar>
              <w:top w:w="0" w:type="dxa"/>
              <w:left w:w="108" w:type="dxa"/>
              <w:bottom w:w="0" w:type="dxa"/>
              <w:right w:w="108" w:type="dxa"/>
            </w:tcMar>
            <w:hideMark/>
          </w:tcPr>
          <w:p w14:paraId="5908F6A2" w14:textId="77777777" w:rsidR="003D55FE" w:rsidRDefault="003D55FE" w:rsidP="00D359F8">
            <w:r>
              <w:t>Bv. Muziektherapeut</w:t>
            </w:r>
          </w:p>
        </w:tc>
        <w:tc>
          <w:tcPr>
            <w:tcW w:w="1701" w:type="dxa"/>
            <w:tcMar>
              <w:top w:w="0" w:type="dxa"/>
              <w:left w:w="108" w:type="dxa"/>
              <w:bottom w:w="0" w:type="dxa"/>
              <w:right w:w="108" w:type="dxa"/>
            </w:tcMar>
            <w:hideMark/>
          </w:tcPr>
          <w:p w14:paraId="47EA8D27" w14:textId="77777777" w:rsidR="003D55FE" w:rsidRDefault="003D55FE" w:rsidP="00D359F8">
            <w:r>
              <w:t>0,5</w:t>
            </w:r>
          </w:p>
        </w:tc>
        <w:tc>
          <w:tcPr>
            <w:tcW w:w="1984" w:type="dxa"/>
            <w:tcMar>
              <w:top w:w="0" w:type="dxa"/>
              <w:left w:w="108" w:type="dxa"/>
              <w:bottom w:w="0" w:type="dxa"/>
              <w:right w:w="108" w:type="dxa"/>
            </w:tcMar>
            <w:hideMark/>
          </w:tcPr>
          <w:p w14:paraId="0C35E504" w14:textId="77777777" w:rsidR="003D55FE" w:rsidRDefault="003D55FE" w:rsidP="00D359F8">
            <w:r>
              <w:t>Neen</w:t>
            </w:r>
          </w:p>
        </w:tc>
        <w:tc>
          <w:tcPr>
            <w:tcW w:w="1842" w:type="dxa"/>
            <w:tcMar>
              <w:top w:w="0" w:type="dxa"/>
              <w:left w:w="108" w:type="dxa"/>
              <w:bottom w:w="0" w:type="dxa"/>
              <w:right w:w="108" w:type="dxa"/>
            </w:tcMar>
          </w:tcPr>
          <w:p w14:paraId="0A9F87C0" w14:textId="77777777" w:rsidR="003D55FE" w:rsidRDefault="003D55FE" w:rsidP="00D359F8"/>
        </w:tc>
        <w:tc>
          <w:tcPr>
            <w:tcW w:w="1842" w:type="dxa"/>
            <w:tcMar>
              <w:top w:w="0" w:type="dxa"/>
              <w:left w:w="108" w:type="dxa"/>
              <w:bottom w:w="0" w:type="dxa"/>
              <w:right w:w="108" w:type="dxa"/>
            </w:tcMar>
            <w:hideMark/>
          </w:tcPr>
          <w:p w14:paraId="25277431" w14:textId="77777777" w:rsidR="003D55FE" w:rsidRDefault="003D55FE" w:rsidP="00D359F8">
            <w:r>
              <w:t>X</w:t>
            </w:r>
          </w:p>
        </w:tc>
      </w:tr>
      <w:tr w:rsidR="003D55FE" w14:paraId="468235FD" w14:textId="77777777" w:rsidTr="00D359F8">
        <w:tc>
          <w:tcPr>
            <w:tcW w:w="2097" w:type="dxa"/>
            <w:tcMar>
              <w:top w:w="0" w:type="dxa"/>
              <w:left w:w="108" w:type="dxa"/>
              <w:bottom w:w="0" w:type="dxa"/>
              <w:right w:w="108" w:type="dxa"/>
            </w:tcMar>
          </w:tcPr>
          <w:p w14:paraId="48E3ABD0" w14:textId="77777777" w:rsidR="003D55FE" w:rsidRDefault="003D55FE" w:rsidP="00D359F8"/>
        </w:tc>
        <w:tc>
          <w:tcPr>
            <w:tcW w:w="1701" w:type="dxa"/>
            <w:tcMar>
              <w:top w:w="0" w:type="dxa"/>
              <w:left w:w="108" w:type="dxa"/>
              <w:bottom w:w="0" w:type="dxa"/>
              <w:right w:w="108" w:type="dxa"/>
            </w:tcMar>
          </w:tcPr>
          <w:p w14:paraId="6143156A" w14:textId="77777777" w:rsidR="003D55FE" w:rsidRDefault="003D55FE" w:rsidP="00D359F8"/>
        </w:tc>
        <w:tc>
          <w:tcPr>
            <w:tcW w:w="1984" w:type="dxa"/>
            <w:tcMar>
              <w:top w:w="0" w:type="dxa"/>
              <w:left w:w="108" w:type="dxa"/>
              <w:bottom w:w="0" w:type="dxa"/>
              <w:right w:w="108" w:type="dxa"/>
            </w:tcMar>
          </w:tcPr>
          <w:p w14:paraId="65996EF4" w14:textId="77777777" w:rsidR="003D55FE" w:rsidRDefault="003D55FE" w:rsidP="00D359F8"/>
        </w:tc>
        <w:tc>
          <w:tcPr>
            <w:tcW w:w="1842" w:type="dxa"/>
            <w:tcMar>
              <w:top w:w="0" w:type="dxa"/>
              <w:left w:w="108" w:type="dxa"/>
              <w:bottom w:w="0" w:type="dxa"/>
              <w:right w:w="108" w:type="dxa"/>
            </w:tcMar>
          </w:tcPr>
          <w:p w14:paraId="4A42729D" w14:textId="77777777" w:rsidR="003D55FE" w:rsidRDefault="003D55FE" w:rsidP="00D359F8"/>
        </w:tc>
        <w:tc>
          <w:tcPr>
            <w:tcW w:w="1842" w:type="dxa"/>
            <w:tcMar>
              <w:top w:w="0" w:type="dxa"/>
              <w:left w:w="108" w:type="dxa"/>
              <w:bottom w:w="0" w:type="dxa"/>
              <w:right w:w="108" w:type="dxa"/>
            </w:tcMar>
          </w:tcPr>
          <w:p w14:paraId="7233C10E" w14:textId="77777777" w:rsidR="003D55FE" w:rsidRDefault="003D55FE" w:rsidP="00D359F8"/>
        </w:tc>
      </w:tr>
    </w:tbl>
    <w:p w14:paraId="0C5E0726" w14:textId="77777777" w:rsidR="003D55FE" w:rsidRDefault="003D55FE" w:rsidP="003D55FE">
      <w:pPr>
        <w:rPr>
          <w:rFonts w:ascii="Calibri" w:hAnsi="Calibri" w:cs="Calibri"/>
        </w:rPr>
      </w:pPr>
    </w:p>
    <w:p w14:paraId="0E450749" w14:textId="77777777" w:rsidR="003D55FE" w:rsidRDefault="003D55FE" w:rsidP="003D55FE">
      <w:pPr>
        <w:spacing w:after="0" w:line="240" w:lineRule="auto"/>
        <w:ind w:left="720"/>
        <w:rPr>
          <w:rFonts w:eastAsia="Times New Roman"/>
          <w:b/>
          <w:bCs/>
        </w:rPr>
      </w:pPr>
      <w:r>
        <w:rPr>
          <w:rFonts w:eastAsia="Times New Roman"/>
          <w:b/>
          <w:bCs/>
        </w:rPr>
        <w:t>“100% RVT”: Het WZC voldoet wel aan de verhoogde personeelsnormen op 1 juli 2021</w:t>
      </w:r>
    </w:p>
    <w:p w14:paraId="09354421" w14:textId="77777777" w:rsidR="003D55FE" w:rsidRDefault="003D55FE" w:rsidP="003D55FE">
      <w:r>
        <w:t>De middelen voor de compensatie van de gestegen zorgzwaarte en werkdruk worden ingezet voor volgende bijkomende tewerkstelling. Hierbij worden volgende elementen meegenomen in de beslissing:</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6"/>
        <w:gridCol w:w="1701"/>
        <w:gridCol w:w="1984"/>
        <w:gridCol w:w="1842"/>
        <w:gridCol w:w="1842"/>
      </w:tblGrid>
      <w:tr w:rsidR="003D55FE" w14:paraId="0A9235A4" w14:textId="77777777" w:rsidTr="00D359F8">
        <w:tc>
          <w:tcPr>
            <w:tcW w:w="2096" w:type="dxa"/>
            <w:tcMar>
              <w:top w:w="0" w:type="dxa"/>
              <w:left w:w="108" w:type="dxa"/>
              <w:bottom w:w="0" w:type="dxa"/>
              <w:right w:w="108" w:type="dxa"/>
            </w:tcMar>
          </w:tcPr>
          <w:p w14:paraId="5B8359D6" w14:textId="77777777" w:rsidR="003D55FE" w:rsidRDefault="003D55FE" w:rsidP="00D359F8">
            <w:r>
              <w:t>Personeelscategorie:</w:t>
            </w:r>
          </w:p>
          <w:p w14:paraId="591A5B41" w14:textId="77777777" w:rsidR="003D55FE" w:rsidRDefault="003D55FE" w:rsidP="00D359F8"/>
        </w:tc>
        <w:tc>
          <w:tcPr>
            <w:tcW w:w="1701" w:type="dxa"/>
            <w:tcMar>
              <w:top w:w="0" w:type="dxa"/>
              <w:left w:w="108" w:type="dxa"/>
              <w:bottom w:w="0" w:type="dxa"/>
              <w:right w:w="108" w:type="dxa"/>
            </w:tcMar>
            <w:hideMark/>
          </w:tcPr>
          <w:p w14:paraId="632BB7C2" w14:textId="77777777" w:rsidR="003D55FE" w:rsidRDefault="003D55FE" w:rsidP="00D359F8">
            <w:r>
              <w:t>VTE</w:t>
            </w:r>
          </w:p>
        </w:tc>
        <w:tc>
          <w:tcPr>
            <w:tcW w:w="1984" w:type="dxa"/>
            <w:tcMar>
              <w:top w:w="0" w:type="dxa"/>
              <w:left w:w="108" w:type="dxa"/>
              <w:bottom w:w="0" w:type="dxa"/>
              <w:right w:w="108" w:type="dxa"/>
            </w:tcMar>
            <w:hideMark/>
          </w:tcPr>
          <w:p w14:paraId="1F3583F1" w14:textId="77777777" w:rsidR="003D55FE" w:rsidRDefault="003D55FE" w:rsidP="00D359F8">
            <w:r>
              <w:t>verhogen van de contractuele arbeidsduur van medewerkers (ja/neen/beide: verduidelijkt)</w:t>
            </w:r>
          </w:p>
        </w:tc>
        <w:tc>
          <w:tcPr>
            <w:tcW w:w="1842" w:type="dxa"/>
            <w:tcMar>
              <w:top w:w="0" w:type="dxa"/>
              <w:left w:w="108" w:type="dxa"/>
              <w:bottom w:w="0" w:type="dxa"/>
              <w:right w:w="108" w:type="dxa"/>
            </w:tcMar>
            <w:hideMark/>
          </w:tcPr>
          <w:p w14:paraId="63136EB1" w14:textId="77777777" w:rsidR="003D55FE" w:rsidRDefault="003D55FE" w:rsidP="00D359F8">
            <w:r>
              <w:t xml:space="preserve">Geplande datum aanwerving </w:t>
            </w:r>
          </w:p>
        </w:tc>
        <w:tc>
          <w:tcPr>
            <w:tcW w:w="1842" w:type="dxa"/>
            <w:tcMar>
              <w:top w:w="0" w:type="dxa"/>
              <w:left w:w="108" w:type="dxa"/>
              <w:bottom w:w="0" w:type="dxa"/>
              <w:right w:w="108" w:type="dxa"/>
            </w:tcMar>
          </w:tcPr>
          <w:p w14:paraId="7B8A7AB4" w14:textId="77777777" w:rsidR="003D55FE" w:rsidRDefault="003D55FE" w:rsidP="00D359F8"/>
        </w:tc>
      </w:tr>
      <w:tr w:rsidR="003D55FE" w14:paraId="298C82A6" w14:textId="77777777" w:rsidTr="00D359F8">
        <w:tc>
          <w:tcPr>
            <w:tcW w:w="2096" w:type="dxa"/>
            <w:tcMar>
              <w:top w:w="0" w:type="dxa"/>
              <w:left w:w="108" w:type="dxa"/>
              <w:bottom w:w="0" w:type="dxa"/>
              <w:right w:w="108" w:type="dxa"/>
            </w:tcMar>
          </w:tcPr>
          <w:p w14:paraId="26209DEF" w14:textId="77777777" w:rsidR="003D55FE" w:rsidRDefault="003D55FE" w:rsidP="00D359F8"/>
        </w:tc>
        <w:tc>
          <w:tcPr>
            <w:tcW w:w="1701" w:type="dxa"/>
            <w:tcMar>
              <w:top w:w="0" w:type="dxa"/>
              <w:left w:w="108" w:type="dxa"/>
              <w:bottom w:w="0" w:type="dxa"/>
              <w:right w:w="108" w:type="dxa"/>
            </w:tcMar>
          </w:tcPr>
          <w:p w14:paraId="4C57ACFF" w14:textId="77777777" w:rsidR="003D55FE" w:rsidRDefault="003D55FE" w:rsidP="00D359F8"/>
        </w:tc>
        <w:tc>
          <w:tcPr>
            <w:tcW w:w="1984" w:type="dxa"/>
            <w:tcMar>
              <w:top w:w="0" w:type="dxa"/>
              <w:left w:w="108" w:type="dxa"/>
              <w:bottom w:w="0" w:type="dxa"/>
              <w:right w:w="108" w:type="dxa"/>
            </w:tcMar>
          </w:tcPr>
          <w:p w14:paraId="5A947DF0" w14:textId="77777777" w:rsidR="003D55FE" w:rsidRDefault="003D55FE" w:rsidP="00D359F8"/>
        </w:tc>
        <w:tc>
          <w:tcPr>
            <w:tcW w:w="1842" w:type="dxa"/>
            <w:tcMar>
              <w:top w:w="0" w:type="dxa"/>
              <w:left w:w="108" w:type="dxa"/>
              <w:bottom w:w="0" w:type="dxa"/>
              <w:right w:w="108" w:type="dxa"/>
            </w:tcMar>
          </w:tcPr>
          <w:p w14:paraId="0DB04F16" w14:textId="77777777" w:rsidR="003D55FE" w:rsidRDefault="003D55FE" w:rsidP="00D359F8"/>
        </w:tc>
        <w:tc>
          <w:tcPr>
            <w:tcW w:w="1842" w:type="dxa"/>
            <w:tcMar>
              <w:top w:w="0" w:type="dxa"/>
              <w:left w:w="108" w:type="dxa"/>
              <w:bottom w:w="0" w:type="dxa"/>
              <w:right w:w="108" w:type="dxa"/>
            </w:tcMar>
          </w:tcPr>
          <w:p w14:paraId="3FD6ABE0" w14:textId="77777777" w:rsidR="003D55FE" w:rsidRDefault="003D55FE" w:rsidP="00D359F8"/>
        </w:tc>
      </w:tr>
      <w:tr w:rsidR="003D55FE" w14:paraId="7E3C6803" w14:textId="77777777" w:rsidTr="00D359F8">
        <w:tc>
          <w:tcPr>
            <w:tcW w:w="2096" w:type="dxa"/>
            <w:tcMar>
              <w:top w:w="0" w:type="dxa"/>
              <w:left w:w="108" w:type="dxa"/>
              <w:bottom w:w="0" w:type="dxa"/>
              <w:right w:w="108" w:type="dxa"/>
            </w:tcMar>
          </w:tcPr>
          <w:p w14:paraId="0E7CDEB8" w14:textId="77777777" w:rsidR="003D55FE" w:rsidRDefault="003D55FE" w:rsidP="00D359F8"/>
        </w:tc>
        <w:tc>
          <w:tcPr>
            <w:tcW w:w="1701" w:type="dxa"/>
            <w:tcMar>
              <w:top w:w="0" w:type="dxa"/>
              <w:left w:w="108" w:type="dxa"/>
              <w:bottom w:w="0" w:type="dxa"/>
              <w:right w:w="108" w:type="dxa"/>
            </w:tcMar>
          </w:tcPr>
          <w:p w14:paraId="6778E619" w14:textId="77777777" w:rsidR="003D55FE" w:rsidRDefault="003D55FE" w:rsidP="00D359F8"/>
        </w:tc>
        <w:tc>
          <w:tcPr>
            <w:tcW w:w="1984" w:type="dxa"/>
            <w:tcMar>
              <w:top w:w="0" w:type="dxa"/>
              <w:left w:w="108" w:type="dxa"/>
              <w:bottom w:w="0" w:type="dxa"/>
              <w:right w:w="108" w:type="dxa"/>
            </w:tcMar>
          </w:tcPr>
          <w:p w14:paraId="24204232" w14:textId="77777777" w:rsidR="003D55FE" w:rsidRDefault="003D55FE" w:rsidP="00D359F8"/>
        </w:tc>
        <w:tc>
          <w:tcPr>
            <w:tcW w:w="1842" w:type="dxa"/>
            <w:tcMar>
              <w:top w:w="0" w:type="dxa"/>
              <w:left w:w="108" w:type="dxa"/>
              <w:bottom w:w="0" w:type="dxa"/>
              <w:right w:w="108" w:type="dxa"/>
            </w:tcMar>
          </w:tcPr>
          <w:p w14:paraId="04984E56" w14:textId="77777777" w:rsidR="003D55FE" w:rsidRDefault="003D55FE" w:rsidP="00D359F8"/>
        </w:tc>
        <w:tc>
          <w:tcPr>
            <w:tcW w:w="1842" w:type="dxa"/>
            <w:tcMar>
              <w:top w:w="0" w:type="dxa"/>
              <w:left w:w="108" w:type="dxa"/>
              <w:bottom w:w="0" w:type="dxa"/>
              <w:right w:w="108" w:type="dxa"/>
            </w:tcMar>
          </w:tcPr>
          <w:p w14:paraId="6201E85F" w14:textId="77777777" w:rsidR="003D55FE" w:rsidRDefault="003D55FE" w:rsidP="00D359F8"/>
        </w:tc>
      </w:tr>
    </w:tbl>
    <w:p w14:paraId="6E6F43AE" w14:textId="77777777" w:rsidR="003D55FE" w:rsidRDefault="003D55FE" w:rsidP="003D55FE">
      <w:pPr>
        <w:rPr>
          <w:rFonts w:ascii="Calibri" w:hAnsi="Calibri" w:cs="Calibri"/>
        </w:rPr>
      </w:pPr>
    </w:p>
    <w:p w14:paraId="3D846F82" w14:textId="77777777" w:rsidR="003D55FE" w:rsidRDefault="003D55FE" w:rsidP="003D55FE">
      <w:pPr>
        <w:spacing w:after="0" w:line="240" w:lineRule="auto"/>
        <w:ind w:left="720"/>
        <w:rPr>
          <w:rFonts w:eastAsia="Times New Roman"/>
          <w:b/>
          <w:bCs/>
        </w:rPr>
        <w:sectPr w:rsidR="003D55FE">
          <w:pgSz w:w="11906" w:h="16838"/>
          <w:pgMar w:top="1417" w:right="1417" w:bottom="1417" w:left="1417" w:header="708" w:footer="708" w:gutter="0"/>
          <w:cols w:space="708"/>
          <w:docGrid w:linePitch="360"/>
        </w:sectPr>
      </w:pPr>
    </w:p>
    <w:p w14:paraId="1CB6AD77" w14:textId="77777777" w:rsidR="003D55FE" w:rsidRDefault="003D55FE" w:rsidP="003D55FE">
      <w:pPr>
        <w:spacing w:after="0" w:line="240" w:lineRule="auto"/>
        <w:ind w:left="720"/>
        <w:rPr>
          <w:rFonts w:eastAsia="Times New Roman"/>
          <w:b/>
          <w:bCs/>
        </w:rPr>
      </w:pPr>
      <w:r>
        <w:rPr>
          <w:rFonts w:eastAsia="Times New Roman"/>
          <w:b/>
          <w:bCs/>
        </w:rPr>
        <w:lastRenderedPageBreak/>
        <w:t>Budget kwaliteit VIA 6: Inzet bijkomende middelen in extra personeel</w:t>
      </w:r>
    </w:p>
    <w:p w14:paraId="27295C8A" w14:textId="77777777" w:rsidR="003D55FE" w:rsidRDefault="003D55FE" w:rsidP="003D55FE">
      <w:r>
        <w:t>De middelen uit het “kwaliteit VIA 6” worden ingezet voor volgende bijkomende tewerkstelling. Hierbij worden volgende elementen meegenomen in de beslissing:</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6"/>
        <w:gridCol w:w="1701"/>
        <w:gridCol w:w="1984"/>
        <w:gridCol w:w="1842"/>
        <w:gridCol w:w="1842"/>
      </w:tblGrid>
      <w:tr w:rsidR="003D55FE" w14:paraId="71C5506D" w14:textId="77777777" w:rsidTr="00D359F8">
        <w:tc>
          <w:tcPr>
            <w:tcW w:w="2097" w:type="dxa"/>
            <w:tcMar>
              <w:top w:w="0" w:type="dxa"/>
              <w:left w:w="108" w:type="dxa"/>
              <w:bottom w:w="0" w:type="dxa"/>
              <w:right w:w="108" w:type="dxa"/>
            </w:tcMar>
          </w:tcPr>
          <w:p w14:paraId="78CFD759" w14:textId="77777777" w:rsidR="003D55FE" w:rsidRDefault="003D55FE" w:rsidP="00D359F8">
            <w:r>
              <w:t>Personeelscategorie:</w:t>
            </w:r>
          </w:p>
          <w:p w14:paraId="58855A88" w14:textId="77777777" w:rsidR="003D55FE" w:rsidRDefault="003D55FE" w:rsidP="00D359F8"/>
        </w:tc>
        <w:tc>
          <w:tcPr>
            <w:tcW w:w="1701" w:type="dxa"/>
            <w:tcMar>
              <w:top w:w="0" w:type="dxa"/>
              <w:left w:w="108" w:type="dxa"/>
              <w:bottom w:w="0" w:type="dxa"/>
              <w:right w:w="108" w:type="dxa"/>
            </w:tcMar>
            <w:hideMark/>
          </w:tcPr>
          <w:p w14:paraId="0EEEEE26" w14:textId="77777777" w:rsidR="003D55FE" w:rsidRDefault="003D55FE" w:rsidP="00D359F8">
            <w:r>
              <w:t>VTE</w:t>
            </w:r>
          </w:p>
        </w:tc>
        <w:tc>
          <w:tcPr>
            <w:tcW w:w="1984" w:type="dxa"/>
            <w:tcMar>
              <w:top w:w="0" w:type="dxa"/>
              <w:left w:w="108" w:type="dxa"/>
              <w:bottom w:w="0" w:type="dxa"/>
              <w:right w:w="108" w:type="dxa"/>
            </w:tcMar>
            <w:hideMark/>
          </w:tcPr>
          <w:p w14:paraId="7F32DA01" w14:textId="77777777" w:rsidR="003D55FE" w:rsidRDefault="003D55FE" w:rsidP="00D359F8">
            <w:r>
              <w:t>verhogen van de contractuele arbeidsduur van medewerkers (ja/neen/beide: verduidelijkt)</w:t>
            </w:r>
          </w:p>
        </w:tc>
        <w:tc>
          <w:tcPr>
            <w:tcW w:w="1842" w:type="dxa"/>
            <w:tcMar>
              <w:top w:w="0" w:type="dxa"/>
              <w:left w:w="108" w:type="dxa"/>
              <w:bottom w:w="0" w:type="dxa"/>
              <w:right w:w="108" w:type="dxa"/>
            </w:tcMar>
            <w:hideMark/>
          </w:tcPr>
          <w:p w14:paraId="5CE24D06" w14:textId="77777777" w:rsidR="003D55FE" w:rsidRDefault="003D55FE" w:rsidP="00D359F8">
            <w:r>
              <w:t xml:space="preserve">Geplande datum aanwerving </w:t>
            </w:r>
          </w:p>
        </w:tc>
        <w:tc>
          <w:tcPr>
            <w:tcW w:w="1842" w:type="dxa"/>
            <w:tcMar>
              <w:top w:w="0" w:type="dxa"/>
              <w:left w:w="108" w:type="dxa"/>
              <w:bottom w:w="0" w:type="dxa"/>
              <w:right w:w="108" w:type="dxa"/>
            </w:tcMar>
          </w:tcPr>
          <w:p w14:paraId="70B1D856" w14:textId="77777777" w:rsidR="003D55FE" w:rsidRDefault="003D55FE" w:rsidP="00D359F8"/>
        </w:tc>
      </w:tr>
      <w:tr w:rsidR="003D55FE" w14:paraId="32E2EAD3" w14:textId="77777777" w:rsidTr="00D359F8">
        <w:tc>
          <w:tcPr>
            <w:tcW w:w="2097" w:type="dxa"/>
            <w:tcMar>
              <w:top w:w="0" w:type="dxa"/>
              <w:left w:w="108" w:type="dxa"/>
              <w:bottom w:w="0" w:type="dxa"/>
              <w:right w:w="108" w:type="dxa"/>
            </w:tcMar>
          </w:tcPr>
          <w:p w14:paraId="39AB6919" w14:textId="77777777" w:rsidR="003D55FE" w:rsidRDefault="003D55FE" w:rsidP="00D359F8"/>
        </w:tc>
        <w:tc>
          <w:tcPr>
            <w:tcW w:w="1701" w:type="dxa"/>
            <w:tcMar>
              <w:top w:w="0" w:type="dxa"/>
              <w:left w:w="108" w:type="dxa"/>
              <w:bottom w:w="0" w:type="dxa"/>
              <w:right w:w="108" w:type="dxa"/>
            </w:tcMar>
          </w:tcPr>
          <w:p w14:paraId="7FEBB587" w14:textId="77777777" w:rsidR="003D55FE" w:rsidRDefault="003D55FE" w:rsidP="00D359F8"/>
        </w:tc>
        <w:tc>
          <w:tcPr>
            <w:tcW w:w="1984" w:type="dxa"/>
            <w:tcMar>
              <w:top w:w="0" w:type="dxa"/>
              <w:left w:w="108" w:type="dxa"/>
              <w:bottom w:w="0" w:type="dxa"/>
              <w:right w:w="108" w:type="dxa"/>
            </w:tcMar>
          </w:tcPr>
          <w:p w14:paraId="109FE6E5" w14:textId="77777777" w:rsidR="003D55FE" w:rsidRDefault="003D55FE" w:rsidP="00D359F8"/>
        </w:tc>
        <w:tc>
          <w:tcPr>
            <w:tcW w:w="1842" w:type="dxa"/>
            <w:tcMar>
              <w:top w:w="0" w:type="dxa"/>
              <w:left w:w="108" w:type="dxa"/>
              <w:bottom w:w="0" w:type="dxa"/>
              <w:right w:w="108" w:type="dxa"/>
            </w:tcMar>
          </w:tcPr>
          <w:p w14:paraId="61699391" w14:textId="77777777" w:rsidR="003D55FE" w:rsidRDefault="003D55FE" w:rsidP="00D359F8"/>
        </w:tc>
        <w:tc>
          <w:tcPr>
            <w:tcW w:w="1842" w:type="dxa"/>
            <w:tcMar>
              <w:top w:w="0" w:type="dxa"/>
              <w:left w:w="108" w:type="dxa"/>
              <w:bottom w:w="0" w:type="dxa"/>
              <w:right w:w="108" w:type="dxa"/>
            </w:tcMar>
          </w:tcPr>
          <w:p w14:paraId="2A4EFA3E" w14:textId="77777777" w:rsidR="003D55FE" w:rsidRDefault="003D55FE" w:rsidP="00D359F8"/>
        </w:tc>
      </w:tr>
      <w:tr w:rsidR="003D55FE" w14:paraId="1BFE0F8B" w14:textId="77777777" w:rsidTr="00D359F8">
        <w:tc>
          <w:tcPr>
            <w:tcW w:w="2097" w:type="dxa"/>
            <w:tcMar>
              <w:top w:w="0" w:type="dxa"/>
              <w:left w:w="108" w:type="dxa"/>
              <w:bottom w:w="0" w:type="dxa"/>
              <w:right w:w="108" w:type="dxa"/>
            </w:tcMar>
          </w:tcPr>
          <w:p w14:paraId="46577360" w14:textId="77777777" w:rsidR="003D55FE" w:rsidRDefault="003D55FE" w:rsidP="00D359F8"/>
        </w:tc>
        <w:tc>
          <w:tcPr>
            <w:tcW w:w="1701" w:type="dxa"/>
            <w:tcMar>
              <w:top w:w="0" w:type="dxa"/>
              <w:left w:w="108" w:type="dxa"/>
              <w:bottom w:w="0" w:type="dxa"/>
              <w:right w:w="108" w:type="dxa"/>
            </w:tcMar>
          </w:tcPr>
          <w:p w14:paraId="23F1F1BC" w14:textId="77777777" w:rsidR="003D55FE" w:rsidRDefault="003D55FE" w:rsidP="00D359F8"/>
        </w:tc>
        <w:tc>
          <w:tcPr>
            <w:tcW w:w="1984" w:type="dxa"/>
            <w:tcMar>
              <w:top w:w="0" w:type="dxa"/>
              <w:left w:w="108" w:type="dxa"/>
              <w:bottom w:w="0" w:type="dxa"/>
              <w:right w:w="108" w:type="dxa"/>
            </w:tcMar>
          </w:tcPr>
          <w:p w14:paraId="13D37432" w14:textId="77777777" w:rsidR="003D55FE" w:rsidRDefault="003D55FE" w:rsidP="00D359F8"/>
        </w:tc>
        <w:tc>
          <w:tcPr>
            <w:tcW w:w="1842" w:type="dxa"/>
            <w:tcMar>
              <w:top w:w="0" w:type="dxa"/>
              <w:left w:w="108" w:type="dxa"/>
              <w:bottom w:w="0" w:type="dxa"/>
              <w:right w:w="108" w:type="dxa"/>
            </w:tcMar>
          </w:tcPr>
          <w:p w14:paraId="321D4CCD" w14:textId="77777777" w:rsidR="003D55FE" w:rsidRDefault="003D55FE" w:rsidP="00D359F8"/>
        </w:tc>
        <w:tc>
          <w:tcPr>
            <w:tcW w:w="1842" w:type="dxa"/>
            <w:tcMar>
              <w:top w:w="0" w:type="dxa"/>
              <w:left w:w="108" w:type="dxa"/>
              <w:bottom w:w="0" w:type="dxa"/>
              <w:right w:w="108" w:type="dxa"/>
            </w:tcMar>
          </w:tcPr>
          <w:p w14:paraId="29181583" w14:textId="77777777" w:rsidR="003D55FE" w:rsidRDefault="003D55FE" w:rsidP="00D359F8"/>
        </w:tc>
      </w:tr>
      <w:tr w:rsidR="003D55FE" w14:paraId="1D3E64A0" w14:textId="77777777" w:rsidTr="00D359F8">
        <w:tc>
          <w:tcPr>
            <w:tcW w:w="2097" w:type="dxa"/>
            <w:tcMar>
              <w:top w:w="0" w:type="dxa"/>
              <w:left w:w="108" w:type="dxa"/>
              <w:bottom w:w="0" w:type="dxa"/>
              <w:right w:w="108" w:type="dxa"/>
            </w:tcMar>
          </w:tcPr>
          <w:p w14:paraId="7CA70FE0" w14:textId="77777777" w:rsidR="003D55FE" w:rsidRDefault="003D55FE" w:rsidP="00D359F8"/>
        </w:tc>
        <w:tc>
          <w:tcPr>
            <w:tcW w:w="1701" w:type="dxa"/>
            <w:tcMar>
              <w:top w:w="0" w:type="dxa"/>
              <w:left w:w="108" w:type="dxa"/>
              <w:bottom w:w="0" w:type="dxa"/>
              <w:right w:w="108" w:type="dxa"/>
            </w:tcMar>
          </w:tcPr>
          <w:p w14:paraId="3018F00C" w14:textId="77777777" w:rsidR="003D55FE" w:rsidRDefault="003D55FE" w:rsidP="00D359F8"/>
        </w:tc>
        <w:tc>
          <w:tcPr>
            <w:tcW w:w="1984" w:type="dxa"/>
            <w:tcMar>
              <w:top w:w="0" w:type="dxa"/>
              <w:left w:w="108" w:type="dxa"/>
              <w:bottom w:w="0" w:type="dxa"/>
              <w:right w:w="108" w:type="dxa"/>
            </w:tcMar>
          </w:tcPr>
          <w:p w14:paraId="47BDD6F3" w14:textId="77777777" w:rsidR="003D55FE" w:rsidRDefault="003D55FE" w:rsidP="00D359F8"/>
        </w:tc>
        <w:tc>
          <w:tcPr>
            <w:tcW w:w="1842" w:type="dxa"/>
            <w:tcMar>
              <w:top w:w="0" w:type="dxa"/>
              <w:left w:w="108" w:type="dxa"/>
              <w:bottom w:w="0" w:type="dxa"/>
              <w:right w:w="108" w:type="dxa"/>
            </w:tcMar>
          </w:tcPr>
          <w:p w14:paraId="58EBF2E8" w14:textId="77777777" w:rsidR="003D55FE" w:rsidRDefault="003D55FE" w:rsidP="00D359F8"/>
        </w:tc>
        <w:tc>
          <w:tcPr>
            <w:tcW w:w="1842" w:type="dxa"/>
            <w:tcMar>
              <w:top w:w="0" w:type="dxa"/>
              <w:left w:w="108" w:type="dxa"/>
              <w:bottom w:w="0" w:type="dxa"/>
              <w:right w:w="108" w:type="dxa"/>
            </w:tcMar>
          </w:tcPr>
          <w:p w14:paraId="6ED284D2" w14:textId="77777777" w:rsidR="003D55FE" w:rsidRDefault="003D55FE" w:rsidP="00D359F8"/>
        </w:tc>
      </w:tr>
    </w:tbl>
    <w:p w14:paraId="7DA71D2C" w14:textId="77777777" w:rsidR="003D55FE" w:rsidRPr="003D55FE" w:rsidRDefault="003D55FE" w:rsidP="003D55FE">
      <w:pPr>
        <w:rPr>
          <w:rFonts w:ascii="Calibri" w:hAnsi="Calibri" w:cs="Calibri"/>
        </w:rPr>
        <w:sectPr w:rsidR="003D55FE" w:rsidRPr="003D55FE">
          <w:pgSz w:w="11906" w:h="16838"/>
          <w:pgMar w:top="1417" w:right="1417" w:bottom="1417" w:left="1417" w:header="708" w:footer="708" w:gutter="0"/>
          <w:cols w:space="708"/>
          <w:docGrid w:linePitch="360"/>
        </w:sectPr>
      </w:pPr>
    </w:p>
    <w:p w14:paraId="4FD1345A" w14:textId="77777777" w:rsidR="00021B75" w:rsidRDefault="00021B75" w:rsidP="003D55FE"/>
    <w:sectPr w:rsidR="00021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7AF5"/>
    <w:multiLevelType w:val="hybridMultilevel"/>
    <w:tmpl w:val="DCEA932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D954050"/>
    <w:multiLevelType w:val="hybridMultilevel"/>
    <w:tmpl w:val="4FEEE7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D83427"/>
    <w:multiLevelType w:val="hybridMultilevel"/>
    <w:tmpl w:val="5846F8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D95FE2"/>
    <w:multiLevelType w:val="hybridMultilevel"/>
    <w:tmpl w:val="51D498A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BB36B8"/>
    <w:multiLevelType w:val="hybridMultilevel"/>
    <w:tmpl w:val="329858D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352100C0"/>
    <w:multiLevelType w:val="hybridMultilevel"/>
    <w:tmpl w:val="E894F7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4622829"/>
    <w:multiLevelType w:val="hybridMultilevel"/>
    <w:tmpl w:val="703077A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6F7CCA"/>
    <w:multiLevelType w:val="hybridMultilevel"/>
    <w:tmpl w:val="75BC4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CA1013"/>
    <w:multiLevelType w:val="multilevel"/>
    <w:tmpl w:val="D4A8AB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C7C7E37"/>
    <w:multiLevelType w:val="hybridMultilevel"/>
    <w:tmpl w:val="5686B72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5CD5B21"/>
    <w:multiLevelType w:val="hybridMultilevel"/>
    <w:tmpl w:val="700CDC9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54E3B2B"/>
    <w:multiLevelType w:val="hybridMultilevel"/>
    <w:tmpl w:val="46A211E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635596F"/>
    <w:multiLevelType w:val="hybridMultilevel"/>
    <w:tmpl w:val="7E8EAFA4"/>
    <w:lvl w:ilvl="0" w:tplc="963AB732">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F1E23A8"/>
    <w:multiLevelType w:val="hybridMultilevel"/>
    <w:tmpl w:val="84A2A800"/>
    <w:lvl w:ilvl="0" w:tplc="963AB732">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12"/>
  </w:num>
  <w:num w:numId="10">
    <w:abstractNumId w:val="1"/>
  </w:num>
  <w:num w:numId="11">
    <w:abstractNumId w:val="10"/>
  </w:num>
  <w:num w:numId="12">
    <w:abstractNumId w:val="11"/>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75"/>
    <w:rsid w:val="00014636"/>
    <w:rsid w:val="00021B75"/>
    <w:rsid w:val="00025CF8"/>
    <w:rsid w:val="000348D4"/>
    <w:rsid w:val="000656FC"/>
    <w:rsid w:val="00065AE7"/>
    <w:rsid w:val="000678EB"/>
    <w:rsid w:val="0007148D"/>
    <w:rsid w:val="0008253D"/>
    <w:rsid w:val="00087326"/>
    <w:rsid w:val="00093671"/>
    <w:rsid w:val="00093DE6"/>
    <w:rsid w:val="000A05CD"/>
    <w:rsid w:val="000A1C4E"/>
    <w:rsid w:val="000A51C8"/>
    <w:rsid w:val="000B0727"/>
    <w:rsid w:val="000C4E67"/>
    <w:rsid w:val="000C6D41"/>
    <w:rsid w:val="000C6F0B"/>
    <w:rsid w:val="000D5B2A"/>
    <w:rsid w:val="000D6C73"/>
    <w:rsid w:val="000E08C5"/>
    <w:rsid w:val="000F1B0B"/>
    <w:rsid w:val="000F6F00"/>
    <w:rsid w:val="001400F6"/>
    <w:rsid w:val="00154AFB"/>
    <w:rsid w:val="001603D3"/>
    <w:rsid w:val="00171F40"/>
    <w:rsid w:val="001820A6"/>
    <w:rsid w:val="001A523B"/>
    <w:rsid w:val="001A5F97"/>
    <w:rsid w:val="001B6231"/>
    <w:rsid w:val="001C700E"/>
    <w:rsid w:val="001C7C81"/>
    <w:rsid w:val="001E2976"/>
    <w:rsid w:val="001F30E7"/>
    <w:rsid w:val="001F4082"/>
    <w:rsid w:val="001F729C"/>
    <w:rsid w:val="00202154"/>
    <w:rsid w:val="002108D8"/>
    <w:rsid w:val="00213111"/>
    <w:rsid w:val="00226AB5"/>
    <w:rsid w:val="00247F1F"/>
    <w:rsid w:val="00251819"/>
    <w:rsid w:val="00252337"/>
    <w:rsid w:val="002546D0"/>
    <w:rsid w:val="002632DE"/>
    <w:rsid w:val="00280BD5"/>
    <w:rsid w:val="00283EF5"/>
    <w:rsid w:val="00294815"/>
    <w:rsid w:val="002A0436"/>
    <w:rsid w:val="002A635B"/>
    <w:rsid w:val="002B0988"/>
    <w:rsid w:val="002B6B54"/>
    <w:rsid w:val="002C1C66"/>
    <w:rsid w:val="002D7301"/>
    <w:rsid w:val="002E196C"/>
    <w:rsid w:val="002F044A"/>
    <w:rsid w:val="003310B4"/>
    <w:rsid w:val="0035137B"/>
    <w:rsid w:val="003720E5"/>
    <w:rsid w:val="00374B7E"/>
    <w:rsid w:val="00380488"/>
    <w:rsid w:val="00395FA1"/>
    <w:rsid w:val="003A4FA6"/>
    <w:rsid w:val="003B00A5"/>
    <w:rsid w:val="003B225C"/>
    <w:rsid w:val="003C07E8"/>
    <w:rsid w:val="003D2E7D"/>
    <w:rsid w:val="003D55FE"/>
    <w:rsid w:val="003E0284"/>
    <w:rsid w:val="003E13AE"/>
    <w:rsid w:val="003E15F6"/>
    <w:rsid w:val="003E31CD"/>
    <w:rsid w:val="003E41EA"/>
    <w:rsid w:val="00417FA8"/>
    <w:rsid w:val="004207E6"/>
    <w:rsid w:val="00427497"/>
    <w:rsid w:val="0043339A"/>
    <w:rsid w:val="00436A1C"/>
    <w:rsid w:val="00441F44"/>
    <w:rsid w:val="00457DE1"/>
    <w:rsid w:val="004742EC"/>
    <w:rsid w:val="004758FA"/>
    <w:rsid w:val="0047662E"/>
    <w:rsid w:val="00484DF1"/>
    <w:rsid w:val="004C2E6F"/>
    <w:rsid w:val="004D28FF"/>
    <w:rsid w:val="004D3F7A"/>
    <w:rsid w:val="004D4B8B"/>
    <w:rsid w:val="004E1BB9"/>
    <w:rsid w:val="004E2086"/>
    <w:rsid w:val="004E7215"/>
    <w:rsid w:val="00507FE7"/>
    <w:rsid w:val="005270E8"/>
    <w:rsid w:val="00550F5D"/>
    <w:rsid w:val="00555D49"/>
    <w:rsid w:val="00562A50"/>
    <w:rsid w:val="00580121"/>
    <w:rsid w:val="00594295"/>
    <w:rsid w:val="005A0907"/>
    <w:rsid w:val="005A4505"/>
    <w:rsid w:val="005B14B0"/>
    <w:rsid w:val="005B2048"/>
    <w:rsid w:val="005B2811"/>
    <w:rsid w:val="005B30A5"/>
    <w:rsid w:val="005B392B"/>
    <w:rsid w:val="005C7302"/>
    <w:rsid w:val="005E0897"/>
    <w:rsid w:val="005E60E2"/>
    <w:rsid w:val="005F2F9F"/>
    <w:rsid w:val="005F7BD0"/>
    <w:rsid w:val="00600D8F"/>
    <w:rsid w:val="00603CB5"/>
    <w:rsid w:val="00606F36"/>
    <w:rsid w:val="006121FC"/>
    <w:rsid w:val="0061437F"/>
    <w:rsid w:val="0063665D"/>
    <w:rsid w:val="006452A6"/>
    <w:rsid w:val="00651DA6"/>
    <w:rsid w:val="006653DC"/>
    <w:rsid w:val="00666FCD"/>
    <w:rsid w:val="00670F66"/>
    <w:rsid w:val="00673C09"/>
    <w:rsid w:val="0067402E"/>
    <w:rsid w:val="00684B62"/>
    <w:rsid w:val="006A52C8"/>
    <w:rsid w:val="006A5E51"/>
    <w:rsid w:val="006A6072"/>
    <w:rsid w:val="006A72B2"/>
    <w:rsid w:val="006C1EDB"/>
    <w:rsid w:val="006C5800"/>
    <w:rsid w:val="006D70A0"/>
    <w:rsid w:val="006E0F37"/>
    <w:rsid w:val="006E26B0"/>
    <w:rsid w:val="006F2CBA"/>
    <w:rsid w:val="006F4181"/>
    <w:rsid w:val="006F49B4"/>
    <w:rsid w:val="006F7F28"/>
    <w:rsid w:val="0071302E"/>
    <w:rsid w:val="00713931"/>
    <w:rsid w:val="00717DC1"/>
    <w:rsid w:val="00721CA6"/>
    <w:rsid w:val="00723CBD"/>
    <w:rsid w:val="00725E57"/>
    <w:rsid w:val="00734A05"/>
    <w:rsid w:val="00742C98"/>
    <w:rsid w:val="007460E2"/>
    <w:rsid w:val="00750A8E"/>
    <w:rsid w:val="00751D68"/>
    <w:rsid w:val="007740B2"/>
    <w:rsid w:val="00780D5C"/>
    <w:rsid w:val="00791EE5"/>
    <w:rsid w:val="00793E60"/>
    <w:rsid w:val="007965E0"/>
    <w:rsid w:val="007A1D01"/>
    <w:rsid w:val="007B048C"/>
    <w:rsid w:val="007D16E0"/>
    <w:rsid w:val="007D17DE"/>
    <w:rsid w:val="007D4D90"/>
    <w:rsid w:val="007D7B49"/>
    <w:rsid w:val="008003F6"/>
    <w:rsid w:val="00814119"/>
    <w:rsid w:val="008147A9"/>
    <w:rsid w:val="008150B9"/>
    <w:rsid w:val="00816665"/>
    <w:rsid w:val="008217A3"/>
    <w:rsid w:val="00826CF8"/>
    <w:rsid w:val="00826D60"/>
    <w:rsid w:val="00834365"/>
    <w:rsid w:val="008400A3"/>
    <w:rsid w:val="00841FC8"/>
    <w:rsid w:val="00853605"/>
    <w:rsid w:val="008543E6"/>
    <w:rsid w:val="008555DE"/>
    <w:rsid w:val="00856E5B"/>
    <w:rsid w:val="00860D5D"/>
    <w:rsid w:val="00864C61"/>
    <w:rsid w:val="0086655A"/>
    <w:rsid w:val="00876927"/>
    <w:rsid w:val="0088573F"/>
    <w:rsid w:val="008860E7"/>
    <w:rsid w:val="008A32A4"/>
    <w:rsid w:val="008A35F5"/>
    <w:rsid w:val="008E7880"/>
    <w:rsid w:val="008F6764"/>
    <w:rsid w:val="008F77A1"/>
    <w:rsid w:val="00904412"/>
    <w:rsid w:val="00910AF4"/>
    <w:rsid w:val="00917BE4"/>
    <w:rsid w:val="009240DD"/>
    <w:rsid w:val="0092563B"/>
    <w:rsid w:val="009262B0"/>
    <w:rsid w:val="009315B5"/>
    <w:rsid w:val="00945ED5"/>
    <w:rsid w:val="00951916"/>
    <w:rsid w:val="00965C24"/>
    <w:rsid w:val="009663ED"/>
    <w:rsid w:val="009807EA"/>
    <w:rsid w:val="0099197F"/>
    <w:rsid w:val="009938AC"/>
    <w:rsid w:val="009A0648"/>
    <w:rsid w:val="009A5174"/>
    <w:rsid w:val="009D3510"/>
    <w:rsid w:val="009E0856"/>
    <w:rsid w:val="009E5CC7"/>
    <w:rsid w:val="009E5D9E"/>
    <w:rsid w:val="009E7F01"/>
    <w:rsid w:val="009F2991"/>
    <w:rsid w:val="009F3AC9"/>
    <w:rsid w:val="009F5309"/>
    <w:rsid w:val="009F7222"/>
    <w:rsid w:val="00A102C6"/>
    <w:rsid w:val="00A16947"/>
    <w:rsid w:val="00A27E76"/>
    <w:rsid w:val="00A319BE"/>
    <w:rsid w:val="00A407F2"/>
    <w:rsid w:val="00A501AA"/>
    <w:rsid w:val="00A810B7"/>
    <w:rsid w:val="00A836A1"/>
    <w:rsid w:val="00A96648"/>
    <w:rsid w:val="00AC3F8E"/>
    <w:rsid w:val="00AD510E"/>
    <w:rsid w:val="00AD7CB8"/>
    <w:rsid w:val="00B05B3B"/>
    <w:rsid w:val="00B06189"/>
    <w:rsid w:val="00B1054B"/>
    <w:rsid w:val="00B15381"/>
    <w:rsid w:val="00B21F92"/>
    <w:rsid w:val="00B23C62"/>
    <w:rsid w:val="00B31A6B"/>
    <w:rsid w:val="00B32314"/>
    <w:rsid w:val="00B333EB"/>
    <w:rsid w:val="00B4064A"/>
    <w:rsid w:val="00B40A6A"/>
    <w:rsid w:val="00B5363E"/>
    <w:rsid w:val="00B716A4"/>
    <w:rsid w:val="00B85D23"/>
    <w:rsid w:val="00B97DFB"/>
    <w:rsid w:val="00BA11ED"/>
    <w:rsid w:val="00BB0F50"/>
    <w:rsid w:val="00BB17D0"/>
    <w:rsid w:val="00BC4C06"/>
    <w:rsid w:val="00BD2759"/>
    <w:rsid w:val="00BD3BAC"/>
    <w:rsid w:val="00BD4B9F"/>
    <w:rsid w:val="00BD4DB5"/>
    <w:rsid w:val="00BE0C60"/>
    <w:rsid w:val="00BE3BA7"/>
    <w:rsid w:val="00C01CE8"/>
    <w:rsid w:val="00C17B5D"/>
    <w:rsid w:val="00C239C1"/>
    <w:rsid w:val="00C23D65"/>
    <w:rsid w:val="00C33438"/>
    <w:rsid w:val="00C36DFF"/>
    <w:rsid w:val="00C44319"/>
    <w:rsid w:val="00C45E7A"/>
    <w:rsid w:val="00C51CF5"/>
    <w:rsid w:val="00C53C07"/>
    <w:rsid w:val="00C63103"/>
    <w:rsid w:val="00C6354B"/>
    <w:rsid w:val="00C75DBA"/>
    <w:rsid w:val="00C81623"/>
    <w:rsid w:val="00C82DB0"/>
    <w:rsid w:val="00CB28F2"/>
    <w:rsid w:val="00CB3B61"/>
    <w:rsid w:val="00CC3C89"/>
    <w:rsid w:val="00CF312D"/>
    <w:rsid w:val="00CF3926"/>
    <w:rsid w:val="00D126F9"/>
    <w:rsid w:val="00D178D1"/>
    <w:rsid w:val="00D333EB"/>
    <w:rsid w:val="00D33D5B"/>
    <w:rsid w:val="00D34C41"/>
    <w:rsid w:val="00D3667D"/>
    <w:rsid w:val="00D438E6"/>
    <w:rsid w:val="00D564A2"/>
    <w:rsid w:val="00D570C6"/>
    <w:rsid w:val="00D57A3F"/>
    <w:rsid w:val="00D74032"/>
    <w:rsid w:val="00D769C2"/>
    <w:rsid w:val="00D76FDE"/>
    <w:rsid w:val="00D81E3D"/>
    <w:rsid w:val="00D8617E"/>
    <w:rsid w:val="00D95421"/>
    <w:rsid w:val="00DA1D4F"/>
    <w:rsid w:val="00DA738C"/>
    <w:rsid w:val="00DB4AE8"/>
    <w:rsid w:val="00DB4BDA"/>
    <w:rsid w:val="00DB72C0"/>
    <w:rsid w:val="00DB7833"/>
    <w:rsid w:val="00DC15C1"/>
    <w:rsid w:val="00DC2028"/>
    <w:rsid w:val="00DC3607"/>
    <w:rsid w:val="00DC61A1"/>
    <w:rsid w:val="00DD0702"/>
    <w:rsid w:val="00DD6E65"/>
    <w:rsid w:val="00DF05CF"/>
    <w:rsid w:val="00DF30AC"/>
    <w:rsid w:val="00E11AEE"/>
    <w:rsid w:val="00E13577"/>
    <w:rsid w:val="00E15F5A"/>
    <w:rsid w:val="00E17486"/>
    <w:rsid w:val="00E315AC"/>
    <w:rsid w:val="00E411F5"/>
    <w:rsid w:val="00E47A2B"/>
    <w:rsid w:val="00E53645"/>
    <w:rsid w:val="00E53A8E"/>
    <w:rsid w:val="00E543BF"/>
    <w:rsid w:val="00E559E2"/>
    <w:rsid w:val="00E622F8"/>
    <w:rsid w:val="00E648E0"/>
    <w:rsid w:val="00E70316"/>
    <w:rsid w:val="00E768B9"/>
    <w:rsid w:val="00E805FE"/>
    <w:rsid w:val="00E81C0E"/>
    <w:rsid w:val="00E8670C"/>
    <w:rsid w:val="00E93DF2"/>
    <w:rsid w:val="00EC4586"/>
    <w:rsid w:val="00ED14D5"/>
    <w:rsid w:val="00ED5C79"/>
    <w:rsid w:val="00ED6F0C"/>
    <w:rsid w:val="00EE7970"/>
    <w:rsid w:val="00EF1463"/>
    <w:rsid w:val="00EF261F"/>
    <w:rsid w:val="00F014B2"/>
    <w:rsid w:val="00F077E2"/>
    <w:rsid w:val="00F159D5"/>
    <w:rsid w:val="00F31FF1"/>
    <w:rsid w:val="00F35567"/>
    <w:rsid w:val="00F41756"/>
    <w:rsid w:val="00F454C1"/>
    <w:rsid w:val="00F51396"/>
    <w:rsid w:val="00F52CD8"/>
    <w:rsid w:val="00F533CE"/>
    <w:rsid w:val="00F627D9"/>
    <w:rsid w:val="00F720FA"/>
    <w:rsid w:val="00F747BF"/>
    <w:rsid w:val="00F75005"/>
    <w:rsid w:val="00F75A2A"/>
    <w:rsid w:val="00F8355F"/>
    <w:rsid w:val="00F85E5A"/>
    <w:rsid w:val="00F93548"/>
    <w:rsid w:val="00FA3189"/>
    <w:rsid w:val="00FA36BE"/>
    <w:rsid w:val="00FA4491"/>
    <w:rsid w:val="00FA7E0F"/>
    <w:rsid w:val="00FB6C25"/>
    <w:rsid w:val="00FC1DBF"/>
    <w:rsid w:val="00FC2C35"/>
    <w:rsid w:val="00FC7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4B12"/>
  <w15:chartTrackingRefBased/>
  <w15:docId w15:val="{72D6492E-983A-4C2B-B419-E8083269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6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6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1B75"/>
    <w:pPr>
      <w:ind w:left="720"/>
      <w:contextualSpacing/>
    </w:pPr>
  </w:style>
  <w:style w:type="paragraph" w:styleId="Titel">
    <w:name w:val="Title"/>
    <w:basedOn w:val="Standaard"/>
    <w:next w:val="Standaard"/>
    <w:link w:val="TitelChar"/>
    <w:uiPriority w:val="10"/>
    <w:qFormat/>
    <w:rsid w:val="00280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80BD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769C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69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6569">
      <w:bodyDiv w:val="1"/>
      <w:marLeft w:val="0"/>
      <w:marRight w:val="0"/>
      <w:marTop w:val="0"/>
      <w:marBottom w:val="0"/>
      <w:divBdr>
        <w:top w:val="none" w:sz="0" w:space="0" w:color="auto"/>
        <w:left w:val="none" w:sz="0" w:space="0" w:color="auto"/>
        <w:bottom w:val="none" w:sz="0" w:space="0" w:color="auto"/>
        <w:right w:val="none" w:sz="0" w:space="0" w:color="auto"/>
      </w:divBdr>
    </w:div>
    <w:div w:id="6263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7cd088c-d54a-4490-8c76-e290555055cb">3PVH6YRZFVZE-1727666040-123528</_dlc_DocId>
    <_dlc_DocIdUrl xmlns="87cd088c-d54a-4490-8c76-e290555055cb">
      <Url>https://vvsgbe.sharepoint.com/sites/ouderenzorg/_layouts/15/DocIdRedir.aspx?ID=3PVH6YRZFVZE-1727666040-123528</Url>
      <Description>3PVH6YRZFVZE-1727666040-123528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CB68F9B7E24D4A86FE4E2697898A08" ma:contentTypeVersion="15" ma:contentTypeDescription="Een nieuw document maken." ma:contentTypeScope="" ma:versionID="29d0977d27c70ca764f8485a43a8992a">
  <xsd:schema xmlns:xsd="http://www.w3.org/2001/XMLSchema" xmlns:xs="http://www.w3.org/2001/XMLSchema" xmlns:p="http://schemas.microsoft.com/office/2006/metadata/properties" xmlns:ns1="http://schemas.microsoft.com/sharepoint/v3" xmlns:ns2="671233b3-16ba-48b1-a18f-c5a7f17f5cd1" xmlns:ns3="87cd088c-d54a-4490-8c76-e290555055cb" targetNamespace="http://schemas.microsoft.com/office/2006/metadata/properties" ma:root="true" ma:fieldsID="7911b86a730021e485c750d8b3e327ac" ns1:_="" ns2:_="" ns3:_="">
    <xsd:import namespace="http://schemas.microsoft.com/sharepoint/v3"/>
    <xsd:import namespace="671233b3-16ba-48b1-a18f-c5a7f17f5cd1"/>
    <xsd:import namespace="87cd088c-d54a-4490-8c76-e290555055c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4"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233b3-16ba-48b1-a18f-c5a7f17f5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d088c-d54a-4490-8c76-e290555055cb"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7E381-966B-4E47-A6F4-0719A8469EBA}">
  <ds:schemaRefs>
    <ds:schemaRef ds:uri="http://schemas.microsoft.com/sharepoint/events"/>
  </ds:schemaRefs>
</ds:datastoreItem>
</file>

<file path=customXml/itemProps2.xml><?xml version="1.0" encoding="utf-8"?>
<ds:datastoreItem xmlns:ds="http://schemas.openxmlformats.org/officeDocument/2006/customXml" ds:itemID="{4006F45C-0711-4EFF-8D2D-026AA8456A7C}">
  <ds:schemaRefs>
    <ds:schemaRef ds:uri="http://schemas.microsoft.com/sharepoint/v3/contenttype/forms"/>
  </ds:schemaRefs>
</ds:datastoreItem>
</file>

<file path=customXml/itemProps3.xml><?xml version="1.0" encoding="utf-8"?>
<ds:datastoreItem xmlns:ds="http://schemas.openxmlformats.org/officeDocument/2006/customXml" ds:itemID="{C8CD2D37-BB21-4F48-AA04-C814987C01E3}">
  <ds:schemaRefs>
    <ds:schemaRef ds:uri="http://schemas.openxmlformats.org/officeDocument/2006/bibliography"/>
  </ds:schemaRefs>
</ds:datastoreItem>
</file>

<file path=customXml/itemProps4.xml><?xml version="1.0" encoding="utf-8"?>
<ds:datastoreItem xmlns:ds="http://schemas.openxmlformats.org/officeDocument/2006/customXml" ds:itemID="{65BF7243-1A58-4E89-B371-F24572BE4489}">
  <ds:schemaRefs>
    <ds:schemaRef ds:uri="http://schemas.microsoft.com/office/2006/metadata/properties"/>
    <ds:schemaRef ds:uri="http://schemas.microsoft.com/office/infopath/2007/PartnerControls"/>
    <ds:schemaRef ds:uri="http://schemas.microsoft.com/sharepoint/v3"/>
    <ds:schemaRef ds:uri="87cd088c-d54a-4490-8c76-e290555055cb"/>
  </ds:schemaRefs>
</ds:datastoreItem>
</file>

<file path=customXml/itemProps5.xml><?xml version="1.0" encoding="utf-8"?>
<ds:datastoreItem xmlns:ds="http://schemas.openxmlformats.org/officeDocument/2006/customXml" ds:itemID="{42AE862C-EA93-49F5-9030-8722F145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1233b3-16ba-48b1-a18f-c5a7f17f5cd1"/>
    <ds:schemaRef ds:uri="87cd088c-d54a-4490-8c76-e29055505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1476</Words>
  <Characters>8119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Beyl Evi</dc:creator>
  <cp:keywords/>
  <dc:description/>
  <cp:lastModifiedBy>Beyl Evi</cp:lastModifiedBy>
  <cp:revision>2</cp:revision>
  <dcterms:created xsi:type="dcterms:W3CDTF">2021-03-31T09:23:00Z</dcterms:created>
  <dcterms:modified xsi:type="dcterms:W3CDTF">2021-03-31T09:23:00Z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0x010100EBCB68F9B7E24D4A86FE4E2697898A08</vt:lpwstr>
  </property>
  <property fmtid="{D5CDD505-2E9C-101B-9397-08002B2CF9AE}" pid="3" name="_dlc_DocIdItemGuid">
    <vt:lpwstr>d723e8cf-f7ad-4fba-a925-f23a0194459c</vt:lpwstr>
  </property>
</Properties>
</file>