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9E7F" w14:textId="62C4DAC0" w:rsidR="005440AF" w:rsidRDefault="005440AF">
      <w:r w:rsidRPr="005440AF">
        <w:rPr>
          <w:b/>
          <w:bCs/>
          <w:sz w:val="24"/>
          <w:szCs w:val="24"/>
        </w:rPr>
        <w:t>Acute Respiratory Infection (ARI) supplement to the infection prevention and control resource for Adult Social Care (ASC)</w:t>
      </w:r>
      <w:r>
        <w:rPr>
          <w:b/>
          <w:bCs/>
          <w:sz w:val="24"/>
          <w:szCs w:val="24"/>
        </w:rPr>
        <w:t xml:space="preserve"> – </w:t>
      </w:r>
      <w:r w:rsidR="002C4A91">
        <w:rPr>
          <w:b/>
          <w:bCs/>
          <w:sz w:val="24"/>
          <w:szCs w:val="24"/>
        </w:rPr>
        <w:t>Public facing guidance - L</w:t>
      </w:r>
      <w:r>
        <w:rPr>
          <w:b/>
          <w:bCs/>
          <w:sz w:val="24"/>
          <w:szCs w:val="24"/>
        </w:rPr>
        <w:t>ist of updates</w:t>
      </w:r>
    </w:p>
    <w:tbl>
      <w:tblPr>
        <w:tblStyle w:val="TableGrid"/>
        <w:tblW w:w="10343" w:type="dxa"/>
        <w:tblInd w:w="-283" w:type="dxa"/>
        <w:tblLook w:val="04A0" w:firstRow="1" w:lastRow="0" w:firstColumn="1" w:lastColumn="0" w:noHBand="0" w:noVBand="1"/>
      </w:tblPr>
      <w:tblGrid>
        <w:gridCol w:w="1531"/>
        <w:gridCol w:w="8812"/>
      </w:tblGrid>
      <w:tr w:rsidR="005440AF" w14:paraId="373C2A57" w14:textId="77777777" w:rsidTr="00B67B95">
        <w:tc>
          <w:tcPr>
            <w:tcW w:w="987" w:type="dxa"/>
          </w:tcPr>
          <w:p w14:paraId="389CCA15" w14:textId="77777777" w:rsidR="005440AF" w:rsidRPr="00AB3BED" w:rsidRDefault="005440AF" w:rsidP="00B67B95">
            <w:pPr>
              <w:spacing w:after="120"/>
              <w:ind w:right="227"/>
              <w:jc w:val="both"/>
              <w:rPr>
                <w:rFonts w:eastAsia="Arial" w:cs="Arial"/>
                <w:b/>
                <w:color w:val="2F5496" w:themeColor="accent1" w:themeShade="BF"/>
                <w:sz w:val="22"/>
                <w:szCs w:val="22"/>
              </w:rPr>
            </w:pPr>
            <w:r w:rsidRPr="00AB3BED">
              <w:rPr>
                <w:rFonts w:eastAsia="Arial" w:cs="Arial"/>
                <w:b/>
                <w:color w:val="2F5496" w:themeColor="accent1" w:themeShade="BF"/>
                <w:sz w:val="22"/>
                <w:szCs w:val="22"/>
              </w:rPr>
              <w:t>Area</w:t>
            </w:r>
          </w:p>
        </w:tc>
        <w:tc>
          <w:tcPr>
            <w:tcW w:w="9356" w:type="dxa"/>
          </w:tcPr>
          <w:p w14:paraId="72014EE2" w14:textId="77777777" w:rsidR="005440AF" w:rsidRDefault="005440AF" w:rsidP="00B67B95">
            <w:pPr>
              <w:spacing w:after="120"/>
              <w:ind w:right="227"/>
              <w:jc w:val="both"/>
              <w:rPr>
                <w:rFonts w:eastAsia="Arial" w:cs="Arial"/>
                <w:b/>
                <w:color w:val="2F5496" w:themeColor="accent1" w:themeShade="BF"/>
                <w:sz w:val="22"/>
                <w:szCs w:val="22"/>
              </w:rPr>
            </w:pPr>
            <w:r>
              <w:rPr>
                <w:rFonts w:eastAsia="Arial" w:cs="Arial"/>
                <w:b/>
                <w:color w:val="2F5496" w:themeColor="accent1" w:themeShade="BF"/>
                <w:sz w:val="22"/>
                <w:szCs w:val="22"/>
              </w:rPr>
              <w:t>Detail of updates</w:t>
            </w:r>
          </w:p>
        </w:tc>
      </w:tr>
      <w:tr w:rsidR="005440AF" w14:paraId="01A69567" w14:textId="77777777" w:rsidTr="00B67B95">
        <w:trPr>
          <w:trHeight w:val="1246"/>
        </w:trPr>
        <w:tc>
          <w:tcPr>
            <w:tcW w:w="987" w:type="dxa"/>
          </w:tcPr>
          <w:p w14:paraId="1A31175C" w14:textId="77777777" w:rsidR="005440AF" w:rsidRPr="00946F76" w:rsidRDefault="005440AF" w:rsidP="00B67B95">
            <w:pPr>
              <w:spacing w:after="120"/>
              <w:ind w:right="227"/>
              <w:jc w:val="both"/>
              <w:rPr>
                <w:rFonts w:eastAsia="Arial" w:cs="Arial"/>
                <w:b/>
                <w:sz w:val="22"/>
                <w:szCs w:val="22"/>
              </w:rPr>
            </w:pPr>
            <w:r w:rsidRPr="00946F76">
              <w:rPr>
                <w:rFonts w:eastAsia="Arial" w:cs="Arial"/>
                <w:b/>
                <w:sz w:val="22"/>
                <w:szCs w:val="22"/>
              </w:rPr>
              <w:t>Symptoms</w:t>
            </w:r>
          </w:p>
        </w:tc>
        <w:tc>
          <w:tcPr>
            <w:tcW w:w="9356" w:type="dxa"/>
          </w:tcPr>
          <w:p w14:paraId="6859F066" w14:textId="77777777" w:rsidR="005440AF" w:rsidRPr="0094452E" w:rsidRDefault="005440AF" w:rsidP="005440AF">
            <w:pPr>
              <w:pStyle w:val="ListParagraph"/>
              <w:numPr>
                <w:ilvl w:val="0"/>
                <w:numId w:val="1"/>
              </w:numPr>
              <w:spacing w:after="120"/>
              <w:ind w:right="227"/>
              <w:rPr>
                <w:rFonts w:ascii="Arial" w:eastAsia="Arial" w:hAnsi="Arial" w:cs="Arial"/>
                <w:b/>
              </w:rPr>
            </w:pPr>
            <w:r w:rsidRPr="008A4804">
              <w:rPr>
                <w:rFonts w:ascii="Arial" w:eastAsia="Arial" w:hAnsi="Arial" w:cs="Arial"/>
                <w:bCs/>
              </w:rPr>
              <w:t>Symptoms of an acute respiratory infection outlined upfront</w:t>
            </w:r>
            <w:r>
              <w:rPr>
                <w:rFonts w:ascii="Arial" w:eastAsia="Arial" w:hAnsi="Arial" w:cs="Arial"/>
                <w:bCs/>
              </w:rPr>
              <w:t xml:space="preserve"> to include COVID-19 and other infections.</w:t>
            </w:r>
          </w:p>
          <w:p w14:paraId="5D6859EF" w14:textId="77777777" w:rsidR="005440AF" w:rsidRPr="0036450A" w:rsidRDefault="005440AF" w:rsidP="005440AF">
            <w:pPr>
              <w:pStyle w:val="ListParagraph"/>
              <w:numPr>
                <w:ilvl w:val="0"/>
                <w:numId w:val="1"/>
              </w:numPr>
              <w:spacing w:after="120"/>
              <w:ind w:right="227"/>
              <w:rPr>
                <w:rFonts w:ascii="Arial" w:eastAsia="Arial" w:hAnsi="Arial" w:cs="Arial"/>
                <w:b/>
              </w:rPr>
            </w:pPr>
            <w:r>
              <w:rPr>
                <w:rFonts w:ascii="Arial" w:eastAsia="Arial" w:hAnsi="Arial" w:cs="Arial"/>
                <w:bCs/>
              </w:rPr>
              <w:t xml:space="preserve">Revised section on monitoring symptoms to enable providers to escalate appropriately in line with best practice and available support. </w:t>
            </w:r>
          </w:p>
          <w:p w14:paraId="074F20B6" w14:textId="77777777" w:rsidR="005440AF" w:rsidRPr="008A4804" w:rsidRDefault="005440AF" w:rsidP="005440AF">
            <w:pPr>
              <w:pStyle w:val="ListParagraph"/>
              <w:numPr>
                <w:ilvl w:val="0"/>
                <w:numId w:val="1"/>
              </w:numPr>
              <w:spacing w:after="120"/>
              <w:ind w:right="227"/>
              <w:rPr>
                <w:rFonts w:eastAsia="Arial" w:cs="Arial"/>
                <w:b/>
              </w:rPr>
            </w:pPr>
            <w:r>
              <w:rPr>
                <w:rFonts w:ascii="Arial" w:eastAsia="Arial" w:hAnsi="Arial" w:cs="Arial"/>
                <w:bCs/>
              </w:rPr>
              <w:t>New section on ensuring service user wellbeing while supporting symptomatic individuals to stay away from others. (E.g. ensuring visiting, supporting them to leave their room for fresh air etc.)</w:t>
            </w:r>
          </w:p>
        </w:tc>
      </w:tr>
      <w:tr w:rsidR="005440AF" w14:paraId="06037BD5" w14:textId="77777777" w:rsidTr="00B67B95">
        <w:tc>
          <w:tcPr>
            <w:tcW w:w="987" w:type="dxa"/>
          </w:tcPr>
          <w:p w14:paraId="6EBE3521" w14:textId="77777777" w:rsidR="005440AF" w:rsidRPr="00946F76" w:rsidRDefault="005440AF" w:rsidP="00B67B95">
            <w:pPr>
              <w:spacing w:after="120"/>
              <w:ind w:right="227"/>
              <w:jc w:val="both"/>
              <w:rPr>
                <w:rFonts w:eastAsia="Arial" w:cs="Arial"/>
                <w:b/>
                <w:sz w:val="22"/>
                <w:szCs w:val="22"/>
              </w:rPr>
            </w:pPr>
            <w:r w:rsidRPr="00946F76">
              <w:rPr>
                <w:rFonts w:eastAsia="Arial" w:cs="Arial"/>
                <w:b/>
                <w:sz w:val="22"/>
                <w:szCs w:val="22"/>
              </w:rPr>
              <w:t>Vaccines</w:t>
            </w:r>
          </w:p>
        </w:tc>
        <w:tc>
          <w:tcPr>
            <w:tcW w:w="9356" w:type="dxa"/>
          </w:tcPr>
          <w:p w14:paraId="12093358" w14:textId="77777777" w:rsidR="005440AF" w:rsidRPr="006456B0" w:rsidRDefault="005440AF" w:rsidP="005440AF">
            <w:pPr>
              <w:pStyle w:val="ListParagraph"/>
              <w:numPr>
                <w:ilvl w:val="0"/>
                <w:numId w:val="1"/>
              </w:numPr>
              <w:spacing w:after="120"/>
              <w:ind w:right="227"/>
              <w:rPr>
                <w:rFonts w:eastAsia="Arial" w:cs="Arial"/>
                <w:b/>
              </w:rPr>
            </w:pPr>
            <w:r w:rsidRPr="006456B0">
              <w:rPr>
                <w:rFonts w:ascii="Arial" w:eastAsia="Arial" w:hAnsi="Arial" w:cs="Arial"/>
                <w:bCs/>
              </w:rPr>
              <w:t>Updat</w:t>
            </w:r>
            <w:r>
              <w:rPr>
                <w:rFonts w:ascii="Arial" w:eastAsia="Arial" w:hAnsi="Arial" w:cs="Arial"/>
                <w:bCs/>
              </w:rPr>
              <w:t>ed guidance to be more general and signpost to NHS links to future proof this for future flu, COVID-19, and other vaccination campaigns.</w:t>
            </w:r>
          </w:p>
        </w:tc>
      </w:tr>
      <w:tr w:rsidR="005440AF" w14:paraId="58D9DAD6" w14:textId="77777777" w:rsidTr="00B67B95">
        <w:tc>
          <w:tcPr>
            <w:tcW w:w="987" w:type="dxa"/>
          </w:tcPr>
          <w:p w14:paraId="4EB24B15" w14:textId="77777777" w:rsidR="005440AF" w:rsidRPr="00946F76" w:rsidRDefault="005440AF" w:rsidP="00B67B95">
            <w:pPr>
              <w:spacing w:after="120"/>
              <w:ind w:right="227"/>
              <w:jc w:val="both"/>
              <w:rPr>
                <w:rFonts w:eastAsia="Arial" w:cs="Arial"/>
                <w:b/>
                <w:sz w:val="22"/>
                <w:szCs w:val="22"/>
              </w:rPr>
            </w:pPr>
            <w:r w:rsidRPr="00946F76">
              <w:rPr>
                <w:rFonts w:eastAsia="Arial" w:cs="Arial"/>
                <w:b/>
                <w:sz w:val="22"/>
                <w:szCs w:val="22"/>
              </w:rPr>
              <w:t>Treatments</w:t>
            </w:r>
          </w:p>
        </w:tc>
        <w:tc>
          <w:tcPr>
            <w:tcW w:w="9356" w:type="dxa"/>
          </w:tcPr>
          <w:p w14:paraId="28F74104" w14:textId="77777777" w:rsidR="005440AF" w:rsidRPr="001977B9" w:rsidRDefault="005440AF" w:rsidP="005440AF">
            <w:pPr>
              <w:pStyle w:val="ListParagraph"/>
              <w:numPr>
                <w:ilvl w:val="0"/>
                <w:numId w:val="1"/>
              </w:numPr>
              <w:spacing w:after="120"/>
              <w:ind w:right="227"/>
              <w:rPr>
                <w:rFonts w:eastAsia="Arial" w:cs="Arial"/>
                <w:b/>
              </w:rPr>
            </w:pPr>
            <w:r>
              <w:rPr>
                <w:rFonts w:ascii="Arial" w:eastAsia="Arial" w:hAnsi="Arial" w:cs="Arial"/>
                <w:bCs/>
              </w:rPr>
              <w:t>U</w:t>
            </w:r>
            <w:r w:rsidRPr="009223F7">
              <w:rPr>
                <w:rFonts w:ascii="Arial" w:eastAsia="Arial" w:hAnsi="Arial" w:cs="Arial"/>
                <w:bCs/>
              </w:rPr>
              <w:t xml:space="preserve">pdated </w:t>
            </w:r>
            <w:r>
              <w:rPr>
                <w:rFonts w:ascii="Arial" w:eastAsia="Arial" w:hAnsi="Arial" w:cs="Arial"/>
                <w:bCs/>
              </w:rPr>
              <w:t xml:space="preserve">to align with updated pharmacy route for organisations to access COVID-19 tests for those eligible for COVID-19 treatments. </w:t>
            </w:r>
          </w:p>
          <w:p w14:paraId="30860EDF" w14:textId="77777777" w:rsidR="005440AF" w:rsidRPr="00B01BD5" w:rsidRDefault="005440AF" w:rsidP="005440AF">
            <w:pPr>
              <w:pStyle w:val="ListParagraph"/>
              <w:numPr>
                <w:ilvl w:val="0"/>
                <w:numId w:val="1"/>
              </w:numPr>
              <w:spacing w:after="120"/>
              <w:ind w:right="227"/>
              <w:rPr>
                <w:rFonts w:ascii="Arial" w:eastAsia="Arial" w:hAnsi="Arial" w:cs="Arial"/>
                <w:bCs/>
              </w:rPr>
            </w:pPr>
            <w:r>
              <w:rPr>
                <w:rFonts w:ascii="Arial" w:eastAsia="Arial" w:hAnsi="Arial" w:cs="Arial"/>
                <w:bCs/>
              </w:rPr>
              <w:t xml:space="preserve">This is in line with the transition of responsibility from UKHSA to the NHS for providing COVID-19 tests for COVID-19 treatments.  </w:t>
            </w:r>
          </w:p>
          <w:p w14:paraId="21F54161" w14:textId="77777777" w:rsidR="005440AF" w:rsidRPr="00946F76" w:rsidRDefault="005440AF" w:rsidP="005440AF">
            <w:pPr>
              <w:pStyle w:val="ListParagraph"/>
              <w:numPr>
                <w:ilvl w:val="0"/>
                <w:numId w:val="1"/>
              </w:numPr>
              <w:spacing w:after="120"/>
              <w:ind w:right="227"/>
              <w:rPr>
                <w:rFonts w:eastAsia="Arial" w:cs="Arial"/>
                <w:b/>
              </w:rPr>
            </w:pPr>
            <w:r w:rsidRPr="00B01BD5">
              <w:rPr>
                <w:rFonts w:ascii="Arial" w:eastAsia="Arial" w:hAnsi="Arial" w:cs="Arial"/>
                <w:bCs/>
              </w:rPr>
              <w:t>Added detail and links to information on seasonal flu treatments.</w:t>
            </w:r>
            <w:r>
              <w:rPr>
                <w:rFonts w:eastAsia="Arial" w:cs="Arial"/>
                <w:b/>
              </w:rPr>
              <w:t xml:space="preserve"> </w:t>
            </w:r>
          </w:p>
        </w:tc>
      </w:tr>
      <w:tr w:rsidR="005440AF" w14:paraId="4A4CD32B" w14:textId="77777777" w:rsidTr="00B67B95">
        <w:tc>
          <w:tcPr>
            <w:tcW w:w="987" w:type="dxa"/>
          </w:tcPr>
          <w:p w14:paraId="38AD3137" w14:textId="77777777" w:rsidR="005440AF" w:rsidRPr="00946F76" w:rsidRDefault="005440AF" w:rsidP="00B67B95">
            <w:pPr>
              <w:spacing w:after="120"/>
              <w:ind w:right="227"/>
              <w:jc w:val="both"/>
              <w:rPr>
                <w:rFonts w:eastAsia="Arial" w:cs="Arial"/>
                <w:b/>
                <w:sz w:val="22"/>
                <w:szCs w:val="22"/>
              </w:rPr>
            </w:pPr>
            <w:r w:rsidRPr="00946F76">
              <w:rPr>
                <w:rFonts w:eastAsia="Arial" w:cs="Arial"/>
                <w:b/>
                <w:sz w:val="22"/>
                <w:szCs w:val="22"/>
              </w:rPr>
              <w:t>Testing</w:t>
            </w:r>
          </w:p>
        </w:tc>
        <w:tc>
          <w:tcPr>
            <w:tcW w:w="9356" w:type="dxa"/>
          </w:tcPr>
          <w:p w14:paraId="6745CCEA" w14:textId="77777777" w:rsidR="005440AF" w:rsidRPr="00DF0E4E" w:rsidRDefault="005440AF" w:rsidP="005440AF">
            <w:pPr>
              <w:pStyle w:val="ListParagraph"/>
              <w:numPr>
                <w:ilvl w:val="0"/>
                <w:numId w:val="1"/>
              </w:numPr>
              <w:spacing w:after="120"/>
              <w:ind w:right="227"/>
              <w:rPr>
                <w:rFonts w:ascii="Arial" w:eastAsia="Arial" w:hAnsi="Arial" w:cs="Arial"/>
                <w:bCs/>
              </w:rPr>
            </w:pPr>
            <w:r w:rsidRPr="009223F7">
              <w:rPr>
                <w:rFonts w:ascii="Arial" w:eastAsia="Arial" w:hAnsi="Arial" w:cs="Arial"/>
                <w:bCs/>
              </w:rPr>
              <w:t xml:space="preserve">To be updated </w:t>
            </w:r>
            <w:r>
              <w:rPr>
                <w:rFonts w:ascii="Arial" w:eastAsia="Arial" w:hAnsi="Arial" w:cs="Arial"/>
                <w:bCs/>
              </w:rPr>
              <w:t>to align with updated pharmacy route for organisations to access COVID-19 tests for those eligible for COVID-19 treatments, as above.</w:t>
            </w:r>
          </w:p>
          <w:p w14:paraId="7BD32736" w14:textId="77777777" w:rsidR="005440AF" w:rsidRPr="002F17E8" w:rsidRDefault="005440AF" w:rsidP="005440AF">
            <w:pPr>
              <w:pStyle w:val="ListParagraph"/>
              <w:numPr>
                <w:ilvl w:val="0"/>
                <w:numId w:val="1"/>
              </w:numPr>
              <w:spacing w:after="120"/>
              <w:ind w:right="227"/>
              <w:rPr>
                <w:rFonts w:eastAsia="Arial" w:cs="Arial"/>
                <w:b/>
              </w:rPr>
            </w:pPr>
            <w:r w:rsidRPr="00DF0E4E">
              <w:rPr>
                <w:rFonts w:ascii="Arial" w:eastAsia="Arial" w:hAnsi="Arial" w:cs="Arial"/>
                <w:bCs/>
              </w:rPr>
              <w:t>Provided advice on when further testing for COVID-19 and other acute respiratory infections may be advised/conducted by health protection teams, GPs, or hospitals.</w:t>
            </w:r>
          </w:p>
          <w:p w14:paraId="6E944CA2" w14:textId="77777777" w:rsidR="005440AF" w:rsidRPr="00946F76" w:rsidRDefault="005440AF" w:rsidP="005440AF">
            <w:pPr>
              <w:pStyle w:val="ListParagraph"/>
              <w:numPr>
                <w:ilvl w:val="0"/>
                <w:numId w:val="1"/>
              </w:numPr>
              <w:spacing w:after="120"/>
              <w:ind w:right="227"/>
              <w:rPr>
                <w:rFonts w:eastAsia="Arial" w:cs="Arial"/>
                <w:b/>
              </w:rPr>
            </w:pPr>
            <w:r>
              <w:rPr>
                <w:rFonts w:ascii="Arial" w:eastAsia="Arial" w:hAnsi="Arial" w:cs="Arial"/>
                <w:bCs/>
              </w:rPr>
              <w:t xml:space="preserve">Updated advice for care home residents/staff to stay away from others/work for 5 days from the day of positive ARI test to 5 days from onset of symptoms. This is to minimise the risk of extending over the 5 recommended days due to possible delays in accessing testing. </w:t>
            </w:r>
          </w:p>
        </w:tc>
      </w:tr>
      <w:tr w:rsidR="005440AF" w14:paraId="141D21DC" w14:textId="77777777" w:rsidTr="00B67B95">
        <w:tc>
          <w:tcPr>
            <w:tcW w:w="987" w:type="dxa"/>
          </w:tcPr>
          <w:p w14:paraId="004DFD41" w14:textId="77777777" w:rsidR="005440AF" w:rsidRPr="00946F76" w:rsidRDefault="005440AF" w:rsidP="00B67B95">
            <w:pPr>
              <w:spacing w:after="120"/>
              <w:ind w:right="227"/>
              <w:jc w:val="both"/>
              <w:rPr>
                <w:rFonts w:eastAsia="Arial" w:cs="Arial"/>
                <w:b/>
                <w:sz w:val="22"/>
                <w:szCs w:val="22"/>
              </w:rPr>
            </w:pPr>
            <w:r w:rsidRPr="00946F76">
              <w:rPr>
                <w:rFonts w:eastAsia="Arial" w:cs="Arial"/>
                <w:b/>
                <w:sz w:val="22"/>
                <w:szCs w:val="22"/>
              </w:rPr>
              <w:t>Outbreaks</w:t>
            </w:r>
          </w:p>
        </w:tc>
        <w:tc>
          <w:tcPr>
            <w:tcW w:w="9356" w:type="dxa"/>
          </w:tcPr>
          <w:p w14:paraId="4AF957EA" w14:textId="77777777" w:rsidR="005440AF" w:rsidRPr="00252EE4" w:rsidRDefault="005440AF" w:rsidP="005440AF">
            <w:pPr>
              <w:pStyle w:val="ListParagraph"/>
              <w:numPr>
                <w:ilvl w:val="0"/>
                <w:numId w:val="1"/>
              </w:numPr>
              <w:spacing w:after="120"/>
              <w:ind w:right="227"/>
              <w:rPr>
                <w:rStyle w:val="normaltextrun"/>
                <w:rFonts w:eastAsia="Arial" w:cs="Arial"/>
                <w:b/>
              </w:rPr>
            </w:pPr>
            <w:r>
              <w:rPr>
                <w:rStyle w:val="normaltextrun"/>
                <w:rFonts w:ascii="Arial" w:hAnsi="Arial" w:cs="Arial"/>
                <w:color w:val="000000"/>
                <w:shd w:val="clear" w:color="auto" w:fill="FFFFFF"/>
              </w:rPr>
              <w:t xml:space="preserve">Acute respiratory infection (including COVID-19) outbreak definition updated – two or more cases within 5 days. This is updated from the current COVID-19 definition of 14 days. This standardises the definition across ARI viruses, consistent with the latest COVID-19 epidemiology and health protection advice.  </w:t>
            </w:r>
          </w:p>
          <w:p w14:paraId="5AAE99C7" w14:textId="77777777" w:rsidR="005440AF" w:rsidRPr="00660852" w:rsidRDefault="005440AF" w:rsidP="005440AF">
            <w:pPr>
              <w:pStyle w:val="ListParagraph"/>
              <w:numPr>
                <w:ilvl w:val="0"/>
                <w:numId w:val="1"/>
              </w:numPr>
              <w:spacing w:after="120"/>
              <w:ind w:right="227"/>
              <w:rPr>
                <w:rFonts w:eastAsia="Arial" w:cs="Arial"/>
                <w:b/>
              </w:rPr>
            </w:pPr>
            <w:r w:rsidRPr="00660852">
              <w:rPr>
                <w:rFonts w:ascii="Arial" w:eastAsia="Arial" w:hAnsi="Arial" w:cs="Arial"/>
                <w:bCs/>
              </w:rPr>
              <w:t>Updated wording on outbreak measures to make clearer that these are not mandatory but only examples that may be appropriate subject to risk-assessment. This is to ensure measures are risk-based and proportionate.</w:t>
            </w:r>
          </w:p>
          <w:p w14:paraId="774E537D" w14:textId="77777777" w:rsidR="005440AF" w:rsidRPr="007B6939" w:rsidRDefault="005440AF" w:rsidP="005440AF">
            <w:pPr>
              <w:pStyle w:val="ListParagraph"/>
              <w:numPr>
                <w:ilvl w:val="0"/>
                <w:numId w:val="1"/>
              </w:numPr>
              <w:spacing w:after="120"/>
              <w:ind w:right="227"/>
              <w:rPr>
                <w:rFonts w:eastAsia="Arial" w:cs="Arial"/>
                <w:b/>
                <w:bCs/>
              </w:rPr>
            </w:pPr>
            <w:r w:rsidRPr="2E6DDAF5">
              <w:rPr>
                <w:rFonts w:ascii="Arial" w:eastAsia="Arial" w:hAnsi="Arial" w:cs="Arial"/>
              </w:rPr>
              <w:t>Clarification that</w:t>
            </w:r>
            <w:r>
              <w:rPr>
                <w:rFonts w:ascii="Arial" w:eastAsia="Arial" w:hAnsi="Arial" w:cs="Arial"/>
              </w:rPr>
              <w:t xml:space="preserve"> up to</w:t>
            </w:r>
            <w:r w:rsidRPr="2E6DDAF5">
              <w:rPr>
                <w:rFonts w:ascii="Arial" w:eastAsia="Arial" w:hAnsi="Arial" w:cs="Arial"/>
              </w:rPr>
              <w:t xml:space="preserve"> 5 residents who developed acute respiratory symptoms most recently should be tested, rather than the first 5. This is to be able to identify the cause of infection in the individuals likely to be most infectious.</w:t>
            </w:r>
          </w:p>
          <w:p w14:paraId="12E5C757" w14:textId="77777777" w:rsidR="005440AF" w:rsidRPr="0058075E" w:rsidRDefault="005440AF" w:rsidP="005440AF">
            <w:pPr>
              <w:pStyle w:val="ListParagraph"/>
              <w:numPr>
                <w:ilvl w:val="0"/>
                <w:numId w:val="1"/>
              </w:numPr>
              <w:spacing w:after="120"/>
              <w:ind w:right="227"/>
              <w:rPr>
                <w:rFonts w:eastAsia="Arial" w:cs="Arial"/>
                <w:b/>
              </w:rPr>
            </w:pPr>
            <w:r w:rsidRPr="007B6939">
              <w:rPr>
                <w:rFonts w:ascii="Arial" w:eastAsia="Arial" w:hAnsi="Arial" w:cs="Arial"/>
                <w:bCs/>
              </w:rPr>
              <w:t xml:space="preserve">Addition of considerations for administration of flu testing and flu antiviral treatments </w:t>
            </w:r>
            <w:r>
              <w:rPr>
                <w:rFonts w:ascii="Arial" w:eastAsia="Arial" w:hAnsi="Arial" w:cs="Arial"/>
                <w:bCs/>
              </w:rPr>
              <w:t>if advised by the</w:t>
            </w:r>
            <w:r w:rsidRPr="007B6939">
              <w:rPr>
                <w:rFonts w:ascii="Arial" w:eastAsia="Arial" w:hAnsi="Arial" w:cs="Arial"/>
                <w:bCs/>
              </w:rPr>
              <w:t xml:space="preserve"> HPT during outbreaks</w:t>
            </w:r>
            <w:r>
              <w:rPr>
                <w:rFonts w:ascii="Arial" w:eastAsia="Arial" w:hAnsi="Arial" w:cs="Arial"/>
                <w:bCs/>
              </w:rPr>
              <w:t xml:space="preserve">. </w:t>
            </w:r>
          </w:p>
        </w:tc>
      </w:tr>
      <w:tr w:rsidR="005440AF" w14:paraId="6ADBC456" w14:textId="77777777" w:rsidTr="00B67B95">
        <w:tc>
          <w:tcPr>
            <w:tcW w:w="987" w:type="dxa"/>
          </w:tcPr>
          <w:p w14:paraId="3CA8B2D0" w14:textId="77777777" w:rsidR="005440AF" w:rsidRPr="00946F76" w:rsidRDefault="005440AF" w:rsidP="00B67B95">
            <w:pPr>
              <w:spacing w:after="120"/>
              <w:ind w:right="227"/>
              <w:jc w:val="both"/>
              <w:rPr>
                <w:rFonts w:eastAsia="Arial" w:cs="Arial"/>
                <w:b/>
                <w:sz w:val="22"/>
                <w:szCs w:val="22"/>
              </w:rPr>
            </w:pPr>
            <w:r>
              <w:rPr>
                <w:rFonts w:eastAsia="Arial" w:cs="Arial"/>
                <w:b/>
                <w:sz w:val="22"/>
                <w:szCs w:val="22"/>
              </w:rPr>
              <w:t>PPE</w:t>
            </w:r>
          </w:p>
        </w:tc>
        <w:tc>
          <w:tcPr>
            <w:tcW w:w="9356" w:type="dxa"/>
          </w:tcPr>
          <w:p w14:paraId="2EE0B0C0" w14:textId="77777777" w:rsidR="005440AF" w:rsidRDefault="005440AF" w:rsidP="005440AF">
            <w:pPr>
              <w:pStyle w:val="ListParagraph"/>
              <w:numPr>
                <w:ilvl w:val="0"/>
                <w:numId w:val="1"/>
              </w:numPr>
              <w:spacing w:after="120"/>
              <w:ind w:right="227"/>
              <w:rPr>
                <w:rFonts w:ascii="Arial" w:eastAsia="Arial" w:hAnsi="Arial" w:cs="Arial"/>
                <w:bCs/>
              </w:rPr>
            </w:pPr>
            <w:r>
              <w:rPr>
                <w:rFonts w:ascii="Arial" w:eastAsia="Arial" w:hAnsi="Arial" w:cs="Arial"/>
                <w:bCs/>
              </w:rPr>
              <w:t xml:space="preserve">Updated recommendations on use of face masks for acute respiratory infections to align with existing recommendations for use with COVID-19. PPE remains free for COVID-19 needs only until March 2024, subject to stocks. </w:t>
            </w:r>
          </w:p>
          <w:p w14:paraId="7CE991C2" w14:textId="77777777" w:rsidR="005440AF" w:rsidRDefault="005440AF" w:rsidP="005440AF">
            <w:pPr>
              <w:pStyle w:val="ListParagraph"/>
              <w:numPr>
                <w:ilvl w:val="0"/>
                <w:numId w:val="1"/>
              </w:numPr>
              <w:spacing w:after="120"/>
              <w:ind w:right="227"/>
              <w:rPr>
                <w:rFonts w:ascii="Arial" w:eastAsia="Arial" w:hAnsi="Arial" w:cs="Arial"/>
                <w:bCs/>
              </w:rPr>
            </w:pPr>
            <w:r>
              <w:rPr>
                <w:rFonts w:ascii="Arial" w:eastAsia="Arial" w:hAnsi="Arial" w:cs="Arial"/>
                <w:bCs/>
              </w:rPr>
              <w:t>Clarification that gloves and aprons should only be used subject to risk assessment and only if there is a risk of exposure to blood and body fluids. This is to prevent items being overused, given their environmental impact, and to prevent items being used as a substitute for good hand hygiene.</w:t>
            </w:r>
          </w:p>
          <w:p w14:paraId="2789C1C7" w14:textId="77777777" w:rsidR="005440AF" w:rsidRPr="00AA59B9" w:rsidRDefault="005440AF" w:rsidP="005440AF">
            <w:pPr>
              <w:pStyle w:val="ListParagraph"/>
              <w:numPr>
                <w:ilvl w:val="0"/>
                <w:numId w:val="1"/>
              </w:numPr>
              <w:spacing w:after="120"/>
              <w:ind w:right="227"/>
              <w:rPr>
                <w:rFonts w:ascii="Arial" w:eastAsia="Arial" w:hAnsi="Arial" w:cs="Arial"/>
                <w:bCs/>
              </w:rPr>
            </w:pPr>
            <w:r>
              <w:rPr>
                <w:rFonts w:ascii="Arial" w:eastAsia="Arial" w:hAnsi="Arial" w:cs="Arial"/>
                <w:bCs/>
              </w:rPr>
              <w:t xml:space="preserve">Updated guidance to use face masks when within 1 metre of someone with a confirmed or suspected acute respiratory infection for tasks other than providing them with care or </w:t>
            </w:r>
            <w:r>
              <w:rPr>
                <w:rFonts w:ascii="Arial" w:eastAsia="Arial" w:hAnsi="Arial" w:cs="Arial"/>
                <w:bCs/>
              </w:rPr>
              <w:lastRenderedPageBreak/>
              <w:t>cleaning their room. This is revised down from 2 metres consistent with the evidence, and national and international recommendations.</w:t>
            </w:r>
          </w:p>
        </w:tc>
      </w:tr>
    </w:tbl>
    <w:p w14:paraId="35DE9F94" w14:textId="77777777" w:rsidR="005440AF" w:rsidRDefault="005440AF"/>
    <w:sectPr w:rsidR="00544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202F1"/>
    <w:multiLevelType w:val="hybridMultilevel"/>
    <w:tmpl w:val="4E5CAD9A"/>
    <w:lvl w:ilvl="0" w:tplc="08090005">
      <w:start w:val="1"/>
      <w:numFmt w:val="bullet"/>
      <w:lvlText w:val=""/>
      <w:lvlJc w:val="left"/>
      <w:pPr>
        <w:ind w:left="360" w:hanging="360"/>
      </w:pPr>
      <w:rPr>
        <w:rFonts w:ascii="Wingdings" w:hAnsi="Wingdings" w:hint="default"/>
        <w:b w:val="0"/>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179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AF"/>
    <w:rsid w:val="000B4667"/>
    <w:rsid w:val="001D7C8E"/>
    <w:rsid w:val="002C4A91"/>
    <w:rsid w:val="0054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20C0"/>
  <w15:chartTrackingRefBased/>
  <w15:docId w15:val="{AE23843A-8E61-4035-95A6-C6D93533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40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Bullet Points,List Paragraph Char Char Char,Indicator Text,Numbered Para 1,Bullet 1,Colorful List - Accent 11,No Spacing1,MAIN CONTENT,List Paragraph11,Párrafo de lista,Recommendation,Bullet Style"/>
    <w:basedOn w:val="Normal"/>
    <w:link w:val="ListParagraphChar"/>
    <w:uiPriority w:val="34"/>
    <w:qFormat/>
    <w:rsid w:val="005440AF"/>
    <w:pPr>
      <w:spacing w:after="0" w:line="240" w:lineRule="auto"/>
      <w:ind w:left="720"/>
    </w:pPr>
    <w:rPr>
      <w:rFonts w:ascii="Calibri" w:eastAsia="Calibri" w:hAnsi="Calibri" w:cs="Calibri"/>
      <w:lang w:eastAsia="en-GB"/>
    </w:rPr>
  </w:style>
  <w:style w:type="character" w:customStyle="1" w:styleId="normaltextrun">
    <w:name w:val="normaltextrun"/>
    <w:basedOn w:val="DefaultParagraphFont"/>
    <w:rsid w:val="005440AF"/>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MAIN CONTENT Char"/>
    <w:basedOn w:val="DefaultParagraphFont"/>
    <w:link w:val="ListParagraph"/>
    <w:uiPriority w:val="34"/>
    <w:qFormat/>
    <w:locked/>
    <w:rsid w:val="005440AF"/>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4</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Salvagno</dc:creator>
  <cp:keywords/>
  <dc:description/>
  <cp:lastModifiedBy>Caines, Helen</cp:lastModifiedBy>
  <cp:revision>2</cp:revision>
  <dcterms:created xsi:type="dcterms:W3CDTF">2024-02-06T08:20:00Z</dcterms:created>
  <dcterms:modified xsi:type="dcterms:W3CDTF">2024-02-06T08:20:00Z</dcterms:modified>
</cp:coreProperties>
</file>