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0395" w14:textId="77777777" w:rsidR="004C0C1E" w:rsidRPr="00AD40DE" w:rsidRDefault="004C0C1E" w:rsidP="004C0C1E">
      <w:pPr>
        <w:rPr>
          <w:rFonts w:cstheme="minorHAnsi"/>
          <w:b/>
          <w:bCs/>
          <w:color w:val="39B9BE"/>
          <w:sz w:val="36"/>
          <w:szCs w:val="36"/>
          <w:lang w:eastAsia="nl-BE"/>
        </w:rPr>
      </w:pPr>
      <w:r w:rsidRPr="00AD40DE">
        <w:rPr>
          <w:rFonts w:cstheme="minorHAnsi"/>
          <w:b/>
          <w:bCs/>
          <w:color w:val="39B9BE"/>
          <w:sz w:val="36"/>
          <w:szCs w:val="36"/>
        </w:rPr>
        <w:t>Projectoproep voor het toegankelijk aanleggen of herinrichten van haltes langs een gemeenteweg</w:t>
      </w:r>
    </w:p>
    <w:p w14:paraId="41704FAF" w14:textId="77777777" w:rsidR="004C0C1E" w:rsidRPr="00027F57" w:rsidRDefault="004C0C1E" w:rsidP="004C0C1E">
      <w:pPr>
        <w:rPr>
          <w:rFonts w:cstheme="minorHAnsi"/>
          <w:lang w:eastAsia="nl-BE"/>
        </w:rPr>
      </w:pPr>
    </w:p>
    <w:p w14:paraId="0CADBD6D" w14:textId="77777777" w:rsidR="004C0C1E" w:rsidRPr="00AD40DE" w:rsidRDefault="004C0C1E" w:rsidP="004C0C1E">
      <w:pPr>
        <w:pStyle w:val="Kop2"/>
        <w:rPr>
          <w:rFonts w:asciiTheme="minorHAnsi" w:hAnsiTheme="minorHAnsi" w:cstheme="minorHAnsi"/>
          <w:color w:val="39B9BE"/>
        </w:rPr>
      </w:pPr>
      <w:r w:rsidRPr="00AD40DE">
        <w:rPr>
          <w:rFonts w:asciiTheme="minorHAnsi" w:hAnsiTheme="minorHAnsi" w:cstheme="minorHAnsi"/>
          <w:color w:val="39B9BE"/>
        </w:rPr>
        <w:t>Situering</w:t>
      </w:r>
    </w:p>
    <w:p w14:paraId="0048B1B4" w14:textId="77777777" w:rsidR="004C0C1E" w:rsidRPr="00027F57" w:rsidRDefault="004C0C1E" w:rsidP="004C0C1E">
      <w:pPr>
        <w:rPr>
          <w:rFonts w:cstheme="minorHAnsi"/>
        </w:rPr>
      </w:pPr>
      <w:r w:rsidRPr="00027F57">
        <w:rPr>
          <w:rFonts w:cstheme="minorHAnsi"/>
        </w:rPr>
        <w:t xml:space="preserve">De toegankelijkheidscijfers van alle geïnventariseerde haltes in Vlaanderen zijn niet goed. Slechts 12% van de haltes, die vandaag worden bediend door het reguliere stads- en streekvervoer, zijn toegankelijk voor personen met een motorische beperking. </w:t>
      </w:r>
    </w:p>
    <w:p w14:paraId="7FD5F538" w14:textId="77777777" w:rsidR="004C0C1E" w:rsidRPr="00027F57" w:rsidRDefault="004C0C1E" w:rsidP="004C0C1E">
      <w:pPr>
        <w:spacing w:after="120"/>
        <w:jc w:val="both"/>
        <w:rPr>
          <w:rFonts w:cstheme="minorHAnsi"/>
          <w:iCs/>
        </w:rPr>
      </w:pPr>
      <w:r w:rsidRPr="00027F57">
        <w:rPr>
          <w:rFonts w:cstheme="minorHAnsi"/>
          <w:iCs/>
        </w:rPr>
        <w:t xml:space="preserve">De nieuwe Vlaamse mobiliteitsvisie, basisbereikbaarheid, geldt </w:t>
      </w:r>
      <w:r>
        <w:rPr>
          <w:rFonts w:cstheme="minorHAnsi"/>
          <w:iCs/>
        </w:rPr>
        <w:t xml:space="preserve">echter </w:t>
      </w:r>
      <w:r w:rsidRPr="00027F57">
        <w:rPr>
          <w:rFonts w:cstheme="minorHAnsi"/>
          <w:iCs/>
        </w:rPr>
        <w:t xml:space="preserve">voor iedereen. Mensen met een beperking, ouderen die slecht ter been zijn of </w:t>
      </w:r>
      <w:r w:rsidRPr="00027F57">
        <w:rPr>
          <w:rStyle w:val="normaltextrun"/>
          <w:rFonts w:cstheme="minorHAnsi"/>
          <w:iCs/>
        </w:rPr>
        <w:t>ouders op stap met een kinderwagen</w:t>
      </w:r>
      <w:r w:rsidRPr="00027F57">
        <w:rPr>
          <w:rFonts w:cstheme="minorHAnsi"/>
          <w:iCs/>
        </w:rPr>
        <w:t xml:space="preserve">, moeten zich ook met het openbaar vervoer kunnen verplaatsen. Het toegankelijk maken van haltes is hierbij cruciaal en daarvoor zal proactief samengewerkt worden met lokale besturen. </w:t>
      </w:r>
    </w:p>
    <w:p w14:paraId="4E2D5357" w14:textId="77777777" w:rsidR="004C0C1E" w:rsidRPr="00A66132" w:rsidRDefault="004C0C1E" w:rsidP="004C0C1E">
      <w:pPr>
        <w:pStyle w:val="paragraph"/>
        <w:spacing w:before="0" w:beforeAutospacing="0" w:after="0" w:afterAutospacing="0"/>
        <w:textAlignment w:val="baseline"/>
        <w:rPr>
          <w:rFonts w:asciiTheme="minorHAnsi" w:hAnsiTheme="minorHAnsi" w:cstheme="minorHAnsi"/>
          <w:sz w:val="18"/>
          <w:szCs w:val="18"/>
        </w:rPr>
      </w:pPr>
      <w:r w:rsidRPr="00A66132">
        <w:rPr>
          <w:rStyle w:val="normaltextrun"/>
          <w:rFonts w:asciiTheme="minorHAnsi" w:hAnsiTheme="minorHAnsi" w:cstheme="minorHAnsi"/>
          <w:sz w:val="22"/>
          <w:szCs w:val="22"/>
        </w:rPr>
        <w:t xml:space="preserve">In uitwerking van de beleidsnota Mobiliteit en Openbare Werken werd een Masterplan Toegankelijkheid opgesteld </w:t>
      </w:r>
      <w:r w:rsidRPr="00A66132">
        <w:rPr>
          <w:rStyle w:val="contextualspellingandgrammarerror"/>
          <w:rFonts w:asciiTheme="minorHAnsi" w:hAnsiTheme="minorHAnsi" w:cstheme="minorHAnsi"/>
          <w:sz w:val="22"/>
          <w:szCs w:val="22"/>
        </w:rPr>
        <w:t>met</w:t>
      </w:r>
      <w:r w:rsidRPr="00A66132">
        <w:rPr>
          <w:rStyle w:val="normaltextrun"/>
          <w:rFonts w:asciiTheme="minorHAnsi" w:hAnsiTheme="minorHAnsi" w:cstheme="minorHAnsi"/>
          <w:sz w:val="22"/>
          <w:szCs w:val="22"/>
        </w:rPr>
        <w:t> ambitieuze maar haalbare doelstellingen voor het toegankelijk maken van halte-infrastructuur: </w:t>
      </w:r>
      <w:r w:rsidRPr="00A66132">
        <w:rPr>
          <w:rStyle w:val="eop"/>
          <w:rFonts w:asciiTheme="minorHAnsi" w:hAnsiTheme="minorHAnsi" w:cstheme="minorHAnsi"/>
          <w:sz w:val="22"/>
          <w:szCs w:val="22"/>
        </w:rPr>
        <w:t> </w:t>
      </w:r>
    </w:p>
    <w:p w14:paraId="3BE30B58" w14:textId="77777777" w:rsidR="004C0C1E" w:rsidRPr="00A66132" w:rsidRDefault="004C0C1E" w:rsidP="004C0C1E">
      <w:pPr>
        <w:pStyle w:val="paragraph"/>
        <w:numPr>
          <w:ilvl w:val="0"/>
          <w:numId w:val="10"/>
        </w:numPr>
        <w:spacing w:before="0" w:beforeAutospacing="0" w:after="0" w:afterAutospacing="0"/>
        <w:ind w:left="1080"/>
        <w:textAlignment w:val="baseline"/>
        <w:rPr>
          <w:rFonts w:asciiTheme="minorHAnsi" w:hAnsiTheme="minorHAnsi" w:cstheme="minorHAnsi"/>
          <w:sz w:val="22"/>
          <w:szCs w:val="22"/>
        </w:rPr>
      </w:pPr>
      <w:r w:rsidRPr="00A66132">
        <w:rPr>
          <w:rStyle w:val="normaltextrun"/>
          <w:rFonts w:asciiTheme="minorHAnsi" w:hAnsiTheme="minorHAnsi" w:cstheme="minorHAnsi"/>
          <w:sz w:val="22"/>
          <w:szCs w:val="22"/>
        </w:rPr>
        <w:t>Hierbij worden de haltes op gewestwegen versneld toegankelijk gemaakt voor personen met een motorische of visuele beperking. </w:t>
      </w:r>
      <w:r w:rsidRPr="00A66132">
        <w:rPr>
          <w:rStyle w:val="eop"/>
          <w:rFonts w:asciiTheme="minorHAnsi" w:hAnsiTheme="minorHAnsi" w:cstheme="minorHAnsi"/>
          <w:sz w:val="22"/>
          <w:szCs w:val="22"/>
        </w:rPr>
        <w:t> </w:t>
      </w:r>
    </w:p>
    <w:p w14:paraId="1037078A" w14:textId="77777777" w:rsidR="004C0C1E" w:rsidRPr="00A66132" w:rsidRDefault="004C0C1E" w:rsidP="004C0C1E">
      <w:pPr>
        <w:pStyle w:val="paragraph"/>
        <w:numPr>
          <w:ilvl w:val="0"/>
          <w:numId w:val="10"/>
        </w:numPr>
        <w:spacing w:before="0" w:beforeAutospacing="0" w:after="0" w:afterAutospacing="0"/>
        <w:ind w:left="1080"/>
        <w:textAlignment w:val="baseline"/>
        <w:rPr>
          <w:rStyle w:val="eop"/>
          <w:rFonts w:asciiTheme="minorHAnsi" w:hAnsiTheme="minorHAnsi" w:cstheme="minorHAnsi"/>
          <w:sz w:val="22"/>
          <w:szCs w:val="22"/>
        </w:rPr>
      </w:pPr>
      <w:r w:rsidRPr="00A66132">
        <w:rPr>
          <w:rStyle w:val="normaltextrun"/>
          <w:rFonts w:asciiTheme="minorHAnsi" w:hAnsiTheme="minorHAnsi" w:cstheme="minorHAnsi"/>
          <w:sz w:val="22"/>
          <w:szCs w:val="22"/>
        </w:rPr>
        <w:t>Ook wordt er proactief samengewerkt met lokale besturen om de haltes op hun wegen toegankelijk te maken en hiervoor in de nodige incentives te voorzien.</w:t>
      </w:r>
      <w:r w:rsidRPr="00A66132">
        <w:rPr>
          <w:rStyle w:val="eop"/>
          <w:rFonts w:asciiTheme="minorHAnsi" w:hAnsiTheme="minorHAnsi" w:cstheme="minorHAnsi"/>
          <w:sz w:val="22"/>
          <w:szCs w:val="22"/>
        </w:rPr>
        <w:t> </w:t>
      </w:r>
    </w:p>
    <w:p w14:paraId="2A28E112" w14:textId="77777777" w:rsidR="004C0C1E" w:rsidRPr="00AD40DE" w:rsidRDefault="004C0C1E" w:rsidP="004C0C1E">
      <w:pPr>
        <w:pStyle w:val="Kop2"/>
        <w:rPr>
          <w:rFonts w:asciiTheme="minorHAnsi" w:hAnsiTheme="minorHAnsi" w:cstheme="minorHAnsi"/>
          <w:color w:val="39B9BE"/>
        </w:rPr>
      </w:pPr>
      <w:r w:rsidRPr="00AD40DE">
        <w:rPr>
          <w:rFonts w:asciiTheme="minorHAnsi" w:hAnsiTheme="minorHAnsi" w:cstheme="minorHAnsi"/>
          <w:color w:val="39B9BE"/>
        </w:rPr>
        <w:t>Doelstelling van het Masterplan Toegankelijkheid</w:t>
      </w:r>
    </w:p>
    <w:p w14:paraId="7D4F4242" w14:textId="77777777" w:rsidR="004C0C1E" w:rsidRPr="00027F57" w:rsidRDefault="004C0C1E" w:rsidP="004C0C1E">
      <w:pPr>
        <w:pStyle w:val="Lijstalinea"/>
        <w:numPr>
          <w:ilvl w:val="0"/>
          <w:numId w:val="16"/>
        </w:numPr>
        <w:spacing w:after="120"/>
        <w:jc w:val="both"/>
        <w:rPr>
          <w:rFonts w:cstheme="minorHAnsi"/>
        </w:rPr>
      </w:pPr>
      <w:r w:rsidRPr="00027F57">
        <w:rPr>
          <w:rFonts w:cstheme="minorHAnsi"/>
        </w:rPr>
        <w:t xml:space="preserve">50% van de haltes van het </w:t>
      </w:r>
      <w:proofErr w:type="spellStart"/>
      <w:r w:rsidRPr="00027F57">
        <w:rPr>
          <w:rFonts w:cstheme="minorHAnsi"/>
        </w:rPr>
        <w:t>kernnet</w:t>
      </w:r>
      <w:proofErr w:type="spellEnd"/>
      <w:r w:rsidRPr="00027F57">
        <w:rPr>
          <w:rFonts w:cstheme="minorHAnsi"/>
        </w:rPr>
        <w:t xml:space="preserve"> en aanvullend net moeten toegankelijk zijn tegen 2030. Hierdoor kunnen ongeveer 70% van de reizigers gebruik maken van een toegankelijke rit.</w:t>
      </w:r>
    </w:p>
    <w:p w14:paraId="64ADCC32" w14:textId="77777777" w:rsidR="004C0C1E" w:rsidRPr="00027F57" w:rsidRDefault="004C0C1E" w:rsidP="004C0C1E">
      <w:pPr>
        <w:pStyle w:val="Lijstalinea"/>
        <w:numPr>
          <w:ilvl w:val="1"/>
          <w:numId w:val="16"/>
        </w:numPr>
        <w:spacing w:after="120"/>
        <w:jc w:val="both"/>
        <w:rPr>
          <w:rFonts w:cstheme="minorHAnsi"/>
        </w:rPr>
      </w:pPr>
      <w:r w:rsidRPr="00027F57">
        <w:rPr>
          <w:rFonts w:cstheme="minorHAnsi"/>
        </w:rPr>
        <w:t>Bestaande haltes zijn minimaal toegankelijk mits assistentie.</w:t>
      </w:r>
    </w:p>
    <w:p w14:paraId="7A7F7B7E" w14:textId="77777777" w:rsidR="004C0C1E" w:rsidRPr="00027F57" w:rsidRDefault="004C0C1E" w:rsidP="004C0C1E">
      <w:pPr>
        <w:pStyle w:val="Lijstalinea"/>
        <w:numPr>
          <w:ilvl w:val="1"/>
          <w:numId w:val="16"/>
        </w:numPr>
        <w:spacing w:after="120"/>
        <w:jc w:val="both"/>
        <w:rPr>
          <w:rFonts w:cstheme="minorHAnsi"/>
        </w:rPr>
      </w:pPr>
      <w:r w:rsidRPr="00027F57">
        <w:rPr>
          <w:rFonts w:cstheme="minorHAnsi"/>
        </w:rPr>
        <w:t>Nieuw (her)aangelegde haltes zijn autonoom toegankelijk voor personen met een motorische beperking en voor blinden en slechtzienden.</w:t>
      </w:r>
    </w:p>
    <w:p w14:paraId="07B18F1B" w14:textId="77777777" w:rsidR="004C0C1E" w:rsidRPr="00027F57" w:rsidRDefault="004C0C1E" w:rsidP="004C0C1E">
      <w:pPr>
        <w:pStyle w:val="Lijstalinea"/>
        <w:numPr>
          <w:ilvl w:val="0"/>
          <w:numId w:val="16"/>
        </w:numPr>
        <w:spacing w:after="120"/>
        <w:jc w:val="both"/>
        <w:rPr>
          <w:rFonts w:cstheme="minorHAnsi"/>
        </w:rPr>
      </w:pPr>
      <w:r w:rsidRPr="00027F57">
        <w:rPr>
          <w:rFonts w:cstheme="minorHAnsi"/>
        </w:rPr>
        <w:t>100% van de haltes die opgenomen zijn in een Hoppinpunt (vervoersknooppunt) zijn tegen 2030 autonoom toegankelijk.</w:t>
      </w:r>
    </w:p>
    <w:p w14:paraId="41CBBBE0" w14:textId="77777777" w:rsidR="004C0C1E" w:rsidRPr="00027F57" w:rsidRDefault="004C0C1E" w:rsidP="004C0C1E">
      <w:pPr>
        <w:pStyle w:val="Lijstalinea"/>
        <w:numPr>
          <w:ilvl w:val="1"/>
          <w:numId w:val="16"/>
        </w:numPr>
        <w:spacing w:after="120"/>
        <w:jc w:val="both"/>
        <w:rPr>
          <w:rFonts w:cstheme="minorHAnsi"/>
        </w:rPr>
      </w:pPr>
      <w:r w:rsidRPr="00AD40DE">
        <w:rPr>
          <w:rFonts w:cstheme="minorHAnsi"/>
        </w:rPr>
        <w:t>Nieuwe haltes in een Hoppinpunt worden meteen toegankelijk aangelegd</w:t>
      </w:r>
      <w:r w:rsidRPr="00027F57">
        <w:rPr>
          <w:rFonts w:cstheme="minorHAnsi"/>
        </w:rPr>
        <w:t>.</w:t>
      </w:r>
    </w:p>
    <w:p w14:paraId="3FF35BA3" w14:textId="77777777" w:rsidR="004C0C1E" w:rsidRPr="00027F57" w:rsidRDefault="004C0C1E" w:rsidP="004C0C1E">
      <w:pPr>
        <w:spacing w:after="120"/>
        <w:jc w:val="both"/>
        <w:rPr>
          <w:rFonts w:cstheme="minorHAnsi"/>
        </w:rPr>
      </w:pPr>
      <w:r w:rsidRPr="00027F57">
        <w:rPr>
          <w:rFonts w:cstheme="minorHAnsi"/>
        </w:rPr>
        <w:t xml:space="preserve">De uitrol van het Masterplan Toegankelijkheid wordt uiteraard afgestemd op de vastlegging van de haltes van het kern- en aanvullend net in het nieuw openbaar vervoernetwerk. </w:t>
      </w:r>
    </w:p>
    <w:p w14:paraId="760F5F31" w14:textId="77777777" w:rsidR="004C0C1E" w:rsidRPr="00AD40DE" w:rsidRDefault="004C0C1E" w:rsidP="004C0C1E">
      <w:pPr>
        <w:pStyle w:val="Kop2"/>
        <w:rPr>
          <w:rFonts w:asciiTheme="minorHAnsi" w:hAnsiTheme="minorHAnsi" w:cstheme="minorHAnsi"/>
          <w:color w:val="39B9BE"/>
        </w:rPr>
      </w:pPr>
      <w:r w:rsidRPr="00AD40DE">
        <w:rPr>
          <w:rFonts w:asciiTheme="minorHAnsi" w:hAnsiTheme="minorHAnsi" w:cstheme="minorHAnsi"/>
          <w:color w:val="39B9BE"/>
        </w:rPr>
        <w:t xml:space="preserve"> Wie kan een subsidieaanvraag indienen?</w:t>
      </w:r>
    </w:p>
    <w:p w14:paraId="46C3D8FB" w14:textId="77777777" w:rsidR="004C0C1E" w:rsidRPr="00027F57" w:rsidRDefault="004C0C1E" w:rsidP="004C0C1E">
      <w:pPr>
        <w:rPr>
          <w:rFonts w:cstheme="minorHAnsi"/>
        </w:rPr>
      </w:pPr>
      <w:r w:rsidRPr="00027F57">
        <w:rPr>
          <w:rFonts w:cstheme="minorHAnsi"/>
        </w:rPr>
        <w:t xml:space="preserve">De  oproep is gericht aan gemeentebesturen </w:t>
      </w:r>
      <w:r w:rsidRPr="00027F57">
        <w:rPr>
          <w:rFonts w:cstheme="minorHAnsi"/>
          <w:color w:val="333332"/>
          <w:shd w:val="clear" w:color="auto" w:fill="FFFFFF"/>
        </w:rPr>
        <w:t>in Vlaanderen die in 2021 één of een aantal bushaltes</w:t>
      </w:r>
      <w:r w:rsidRPr="00027F57">
        <w:rPr>
          <w:rFonts w:cstheme="minorHAnsi"/>
        </w:rPr>
        <w:t xml:space="preserve"> van het </w:t>
      </w:r>
      <w:proofErr w:type="spellStart"/>
      <w:r w:rsidRPr="00027F57">
        <w:rPr>
          <w:rFonts w:cstheme="minorHAnsi"/>
        </w:rPr>
        <w:t>kernnet</w:t>
      </w:r>
      <w:proofErr w:type="spellEnd"/>
      <w:r w:rsidRPr="00027F57">
        <w:rPr>
          <w:rFonts w:cstheme="minorHAnsi"/>
        </w:rPr>
        <w:t xml:space="preserve"> of aanvullend net toegankelijk zullen maken. Het betreft haltes gelegen langsheen gemeentewegen die de gemeenten zelf in beheer hebben. De forfaitaire subsidie heeft betrekking op de plaatsing van aanrijdbare boordstenen en tactiele geleiding. Na de herinrichting is de halte autonoom toegankelijk voor personen met een motorische en een visuele beperking. </w:t>
      </w:r>
    </w:p>
    <w:p w14:paraId="6267EA86" w14:textId="77777777" w:rsidR="004C0C1E" w:rsidRPr="00027F57" w:rsidRDefault="004C0C1E" w:rsidP="004C0C1E">
      <w:pPr>
        <w:rPr>
          <w:rFonts w:cstheme="minorHAnsi"/>
        </w:rPr>
      </w:pPr>
      <w:bookmarkStart w:id="0" w:name="_Hlk60826121"/>
      <w:r w:rsidRPr="00027F57">
        <w:rPr>
          <w:rFonts w:cstheme="minorHAnsi"/>
        </w:rPr>
        <w:t xml:space="preserve">Deze projectoproep heeft enkel betrekking op het opstartjaar 2021. Voor de subsidieaanvragen van 2022 en later wordt een gereglementeerde subsidie uitgewerkt. </w:t>
      </w:r>
    </w:p>
    <w:bookmarkEnd w:id="0"/>
    <w:p w14:paraId="479D129C" w14:textId="77777777" w:rsidR="004C0C1E" w:rsidRPr="00AD40DE" w:rsidRDefault="004C0C1E" w:rsidP="004C0C1E">
      <w:pPr>
        <w:pStyle w:val="Kop2"/>
        <w:rPr>
          <w:rFonts w:asciiTheme="minorHAnsi" w:hAnsiTheme="minorHAnsi" w:cstheme="minorHAnsi"/>
          <w:color w:val="39B9BE"/>
        </w:rPr>
      </w:pPr>
      <w:r w:rsidRPr="00AD40DE">
        <w:rPr>
          <w:rFonts w:asciiTheme="minorHAnsi" w:hAnsiTheme="minorHAnsi" w:cstheme="minorHAnsi"/>
          <w:color w:val="39B9BE"/>
        </w:rPr>
        <w:lastRenderedPageBreak/>
        <w:t>Procedure voor de aanvraag van subsidies</w:t>
      </w:r>
    </w:p>
    <w:p w14:paraId="6FDFD524" w14:textId="77777777" w:rsidR="004C0C1E" w:rsidRPr="00027F57" w:rsidRDefault="004C0C1E" w:rsidP="004C0C1E">
      <w:pPr>
        <w:rPr>
          <w:rFonts w:cstheme="minorHAnsi"/>
        </w:rPr>
      </w:pPr>
      <w:r w:rsidRPr="00027F57">
        <w:rPr>
          <w:rFonts w:cstheme="minorHAnsi"/>
        </w:rPr>
        <w:t xml:space="preserve">Het indienen van een subsidieaanvraag gebeurt na de aanleg of herinrichting van de halte(s) aan de hand van het </w:t>
      </w:r>
      <w:r w:rsidRPr="00906992">
        <w:rPr>
          <w:rFonts w:cstheme="minorHAnsi"/>
        </w:rPr>
        <w:t>aanvraagformulier</w:t>
      </w:r>
      <w:r w:rsidRPr="00027F57">
        <w:rPr>
          <w:rFonts w:cstheme="minorHAnsi"/>
        </w:rPr>
        <w:t>. Voor iedere halte waarvoor de gemeente een subsidie aanvraagt</w:t>
      </w:r>
      <w:r>
        <w:rPr>
          <w:rFonts w:cstheme="minorHAnsi"/>
        </w:rPr>
        <w:t>,</w:t>
      </w:r>
      <w:r w:rsidRPr="00027F57">
        <w:rPr>
          <w:rFonts w:cstheme="minorHAnsi"/>
        </w:rPr>
        <w:t xml:space="preserve"> wordt een haltefiche opgesteld waaraan de nodige bewijsstukken worden toegevoegd. </w:t>
      </w:r>
    </w:p>
    <w:p w14:paraId="7900CA8C" w14:textId="77777777" w:rsidR="004C0C1E" w:rsidRPr="00027F57" w:rsidRDefault="004C0C1E" w:rsidP="004C0C1E">
      <w:pPr>
        <w:rPr>
          <w:rFonts w:cstheme="minorHAnsi"/>
        </w:rPr>
      </w:pPr>
      <w:r w:rsidRPr="00027F57">
        <w:rPr>
          <w:rFonts w:cstheme="minorHAnsi"/>
        </w:rPr>
        <w:t xml:space="preserve">De subsidieaanvraag wordt ontvankelijk verklaard </w:t>
      </w:r>
      <w:r>
        <w:rPr>
          <w:rFonts w:cstheme="minorHAnsi"/>
        </w:rPr>
        <w:t>indien</w:t>
      </w:r>
      <w:r w:rsidRPr="00027F57">
        <w:rPr>
          <w:rFonts w:cstheme="minorHAnsi"/>
        </w:rPr>
        <w:t>:</w:t>
      </w:r>
    </w:p>
    <w:p w14:paraId="2E676275" w14:textId="77777777" w:rsidR="004C0C1E" w:rsidRPr="00027F57" w:rsidRDefault="004C0C1E" w:rsidP="004C0C1E">
      <w:pPr>
        <w:pStyle w:val="Lijstalinea"/>
        <w:numPr>
          <w:ilvl w:val="0"/>
          <w:numId w:val="33"/>
        </w:numPr>
        <w:rPr>
          <w:rFonts w:cstheme="minorHAnsi"/>
        </w:rPr>
      </w:pPr>
      <w:r>
        <w:rPr>
          <w:rFonts w:cstheme="minorHAnsi"/>
        </w:rPr>
        <w:t xml:space="preserve">de haltes </w:t>
      </w:r>
      <w:r w:rsidRPr="00027F57">
        <w:rPr>
          <w:rFonts w:cstheme="minorHAnsi"/>
        </w:rPr>
        <w:t xml:space="preserve">in 2021 werden aangelegd of heringericht. Voor de </w:t>
      </w:r>
      <w:proofErr w:type="spellStart"/>
      <w:r w:rsidRPr="00027F57">
        <w:rPr>
          <w:rFonts w:cstheme="minorHAnsi"/>
        </w:rPr>
        <w:t>heraanleg</w:t>
      </w:r>
      <w:proofErr w:type="spellEnd"/>
      <w:r w:rsidRPr="00027F57">
        <w:rPr>
          <w:rFonts w:cstheme="minorHAnsi"/>
        </w:rPr>
        <w:t xml:space="preserve"> was de halte niet toegankelijk voor personen met een motorische beperking en personen met een visuele beperking.</w:t>
      </w:r>
    </w:p>
    <w:p w14:paraId="4F38F73F" w14:textId="77777777" w:rsidR="004C0C1E" w:rsidRPr="00027F57" w:rsidRDefault="004C0C1E" w:rsidP="004C0C1E">
      <w:pPr>
        <w:pStyle w:val="Lijstalinea"/>
        <w:numPr>
          <w:ilvl w:val="0"/>
          <w:numId w:val="33"/>
        </w:numPr>
        <w:rPr>
          <w:rFonts w:cstheme="minorHAnsi"/>
        </w:rPr>
      </w:pPr>
      <w:r>
        <w:rPr>
          <w:rFonts w:cstheme="minorHAnsi"/>
        </w:rPr>
        <w:t>e</w:t>
      </w:r>
      <w:r w:rsidRPr="00027F57">
        <w:rPr>
          <w:rFonts w:cstheme="minorHAnsi"/>
        </w:rPr>
        <w:t>r met een attest aangetoond wordt dat elke halte na de aanleg of herinrichting toegankelijk is voor personen met een motorische beperking en personen met visuele beperking. De keuring van de toegankelijkheidsstatus van de halte en het bijbehorende attest kan worden opgevraagd bi</w:t>
      </w:r>
      <w:r>
        <w:rPr>
          <w:rFonts w:cstheme="minorHAnsi"/>
        </w:rPr>
        <w:t>j het Departement Mobiliteit en Openbare Werken</w:t>
      </w:r>
      <w:r w:rsidRPr="00027F57">
        <w:rPr>
          <w:rFonts w:cstheme="minorHAnsi"/>
        </w:rPr>
        <w:t>.</w:t>
      </w:r>
    </w:p>
    <w:p w14:paraId="5772166F" w14:textId="77777777" w:rsidR="004C0C1E" w:rsidRPr="00027F57" w:rsidRDefault="004C0C1E" w:rsidP="004C0C1E">
      <w:pPr>
        <w:pStyle w:val="Lijstalinea"/>
        <w:numPr>
          <w:ilvl w:val="0"/>
          <w:numId w:val="33"/>
        </w:numPr>
        <w:rPr>
          <w:rFonts w:cstheme="minorHAnsi"/>
        </w:rPr>
      </w:pPr>
      <w:r>
        <w:rPr>
          <w:rFonts w:cstheme="minorHAnsi"/>
        </w:rPr>
        <w:t xml:space="preserve">de haltes </w:t>
      </w:r>
      <w:r w:rsidRPr="00027F57">
        <w:rPr>
          <w:rFonts w:cstheme="minorHAnsi"/>
        </w:rPr>
        <w:t xml:space="preserve">bediend </w:t>
      </w:r>
      <w:r>
        <w:rPr>
          <w:rFonts w:cstheme="minorHAnsi"/>
        </w:rPr>
        <w:t xml:space="preserve">zullen </w:t>
      </w:r>
      <w:r w:rsidRPr="00027F57">
        <w:rPr>
          <w:rFonts w:cstheme="minorHAnsi"/>
        </w:rPr>
        <w:t xml:space="preserve">worden door het </w:t>
      </w:r>
      <w:proofErr w:type="spellStart"/>
      <w:r w:rsidRPr="00027F57">
        <w:rPr>
          <w:rFonts w:cstheme="minorHAnsi"/>
        </w:rPr>
        <w:t>kernnet</w:t>
      </w:r>
      <w:proofErr w:type="spellEnd"/>
      <w:r w:rsidRPr="00027F57">
        <w:rPr>
          <w:rFonts w:cstheme="minorHAnsi"/>
        </w:rPr>
        <w:t xml:space="preserve"> of aanvullend net. Dit wordt aangetoond aan de hand van het goedgekeurd OV</w:t>
      </w:r>
      <w:r>
        <w:rPr>
          <w:rFonts w:cstheme="minorHAnsi"/>
        </w:rPr>
        <w:t>-</w:t>
      </w:r>
      <w:r w:rsidRPr="00027F57">
        <w:rPr>
          <w:rFonts w:cstheme="minorHAnsi"/>
        </w:rPr>
        <w:t>plan of</w:t>
      </w:r>
      <w:r>
        <w:rPr>
          <w:rFonts w:cstheme="minorHAnsi"/>
        </w:rPr>
        <w:t>,</w:t>
      </w:r>
      <w:r w:rsidRPr="00027F57">
        <w:rPr>
          <w:rFonts w:cstheme="minorHAnsi"/>
        </w:rPr>
        <w:t xml:space="preserve"> indien dit nog niet beschikbaar is</w:t>
      </w:r>
      <w:r>
        <w:rPr>
          <w:rFonts w:cstheme="minorHAnsi"/>
        </w:rPr>
        <w:t>,</w:t>
      </w:r>
      <w:r w:rsidRPr="00027F57">
        <w:rPr>
          <w:rFonts w:cstheme="minorHAnsi"/>
        </w:rPr>
        <w:t xml:space="preserve"> een ondertekende verklaring van </w:t>
      </w:r>
      <w:r>
        <w:rPr>
          <w:rFonts w:cstheme="minorHAnsi"/>
        </w:rPr>
        <w:t xml:space="preserve">de </w:t>
      </w:r>
      <w:r w:rsidRPr="00027F57">
        <w:rPr>
          <w:rFonts w:cstheme="minorHAnsi"/>
        </w:rPr>
        <w:t>(co</w:t>
      </w:r>
      <w:r>
        <w:rPr>
          <w:rFonts w:cstheme="minorHAnsi"/>
        </w:rPr>
        <w:t>-</w:t>
      </w:r>
      <w:r w:rsidRPr="00027F57">
        <w:rPr>
          <w:rFonts w:cstheme="minorHAnsi"/>
        </w:rPr>
        <w:t xml:space="preserve">)voorzitter (DMOW) of </w:t>
      </w:r>
      <w:r>
        <w:rPr>
          <w:rFonts w:cstheme="minorHAnsi"/>
        </w:rPr>
        <w:t xml:space="preserve">de </w:t>
      </w:r>
      <w:r w:rsidRPr="00027F57">
        <w:rPr>
          <w:rFonts w:cstheme="minorHAnsi"/>
        </w:rPr>
        <w:t xml:space="preserve">vervoerregiomanager (De Lijn) van de betrokken vervoerregio. </w:t>
      </w:r>
    </w:p>
    <w:p w14:paraId="4ED38567" w14:textId="77777777" w:rsidR="004C0C1E" w:rsidRPr="00027F57" w:rsidRDefault="004C0C1E" w:rsidP="004C0C1E">
      <w:pPr>
        <w:rPr>
          <w:rFonts w:cstheme="minorHAnsi"/>
        </w:rPr>
      </w:pPr>
      <w:r w:rsidRPr="00027F57">
        <w:rPr>
          <w:rFonts w:cstheme="minorHAnsi"/>
        </w:rPr>
        <w:t>De ontwerprichtlijnen, waaraan een bushalte moet voldoen om de status toegankelijk voor personen met een motorische beperking en toegankelijk voor personen met een visuele beperking te bekomen, zijn in bijlage van deze projectoproep opgenomen.</w:t>
      </w:r>
    </w:p>
    <w:p w14:paraId="23B19B88" w14:textId="77777777" w:rsidR="004C0C1E" w:rsidRPr="00AD40DE" w:rsidRDefault="004C0C1E" w:rsidP="004C0C1E">
      <w:pPr>
        <w:pStyle w:val="Kop2"/>
        <w:rPr>
          <w:rFonts w:asciiTheme="minorHAnsi" w:hAnsiTheme="minorHAnsi" w:cstheme="minorHAnsi"/>
          <w:color w:val="39B9BE"/>
        </w:rPr>
      </w:pPr>
      <w:r w:rsidRPr="00AD40DE">
        <w:rPr>
          <w:rFonts w:asciiTheme="minorHAnsi" w:hAnsiTheme="minorHAnsi" w:cstheme="minorHAnsi"/>
          <w:color w:val="39B9BE"/>
        </w:rPr>
        <w:t>Beschikbaar budget</w:t>
      </w:r>
    </w:p>
    <w:p w14:paraId="6FA88573" w14:textId="77777777" w:rsidR="004C0C1E" w:rsidRPr="00027F57" w:rsidRDefault="004C0C1E" w:rsidP="004C0C1E">
      <w:pPr>
        <w:rPr>
          <w:rFonts w:cstheme="minorHAnsi"/>
        </w:rPr>
      </w:pPr>
      <w:r w:rsidRPr="00027F57">
        <w:rPr>
          <w:rFonts w:cstheme="minorHAnsi"/>
        </w:rPr>
        <w:t xml:space="preserve">Voor 2021 wordt, ter ondersteuning van lokale besturen, een budget van 1,8 miljoen voorzien waarmee voor </w:t>
      </w:r>
      <w:r>
        <w:rPr>
          <w:rFonts w:cstheme="minorHAnsi"/>
        </w:rPr>
        <w:t xml:space="preserve">ongeveer </w:t>
      </w:r>
      <w:r w:rsidRPr="00027F57">
        <w:rPr>
          <w:rFonts w:cstheme="minorHAnsi"/>
        </w:rPr>
        <w:t>3</w:t>
      </w:r>
      <w:r>
        <w:rPr>
          <w:rFonts w:cstheme="minorHAnsi"/>
        </w:rPr>
        <w:t>5</w:t>
      </w:r>
      <w:r w:rsidRPr="00027F57">
        <w:rPr>
          <w:rFonts w:cstheme="minorHAnsi"/>
        </w:rPr>
        <w:t>0 haltes de forfaitaire subsidie van 5000 euro per halte kan worden</w:t>
      </w:r>
      <w:r>
        <w:rPr>
          <w:rFonts w:cstheme="minorHAnsi"/>
        </w:rPr>
        <w:t xml:space="preserve"> toegekend</w:t>
      </w:r>
      <w:r w:rsidRPr="00027F57">
        <w:rPr>
          <w:rFonts w:cstheme="minorHAnsi"/>
        </w:rPr>
        <w:t xml:space="preserve">. Hierbij wordt het principe ‘first </w:t>
      </w:r>
      <w:proofErr w:type="spellStart"/>
      <w:r w:rsidRPr="00027F57">
        <w:rPr>
          <w:rFonts w:cstheme="minorHAnsi"/>
        </w:rPr>
        <w:t>come</w:t>
      </w:r>
      <w:proofErr w:type="spellEnd"/>
      <w:r w:rsidRPr="00027F57">
        <w:rPr>
          <w:rFonts w:cstheme="minorHAnsi"/>
        </w:rPr>
        <w:t xml:space="preserve">, first </w:t>
      </w:r>
      <w:proofErr w:type="spellStart"/>
      <w:r w:rsidRPr="00027F57">
        <w:rPr>
          <w:rFonts w:cstheme="minorHAnsi"/>
        </w:rPr>
        <w:t>served</w:t>
      </w:r>
      <w:proofErr w:type="spellEnd"/>
      <w:r w:rsidRPr="00027F57">
        <w:rPr>
          <w:rFonts w:cstheme="minorHAnsi"/>
        </w:rPr>
        <w:t xml:space="preserve">’ gehanteerd.  </w:t>
      </w:r>
      <w:bookmarkStart w:id="1" w:name="_Hlk61003116"/>
      <w:r w:rsidRPr="00027F57">
        <w:rPr>
          <w:rFonts w:cstheme="minorHAnsi"/>
        </w:rPr>
        <w:t>Eens de 1,8 miljoen is verdeeld worden geen subsidies meer toegekend</w:t>
      </w:r>
      <w:r>
        <w:rPr>
          <w:rFonts w:cstheme="minorHAnsi"/>
        </w:rPr>
        <w:t xml:space="preserve"> volgens deze regeling.</w:t>
      </w:r>
    </w:p>
    <w:p w14:paraId="2F146CD6" w14:textId="77777777" w:rsidR="004C0C1E" w:rsidRPr="00027F57" w:rsidRDefault="004C0C1E" w:rsidP="004C0C1E">
      <w:pPr>
        <w:rPr>
          <w:rFonts w:cstheme="minorHAnsi"/>
        </w:rPr>
      </w:pPr>
      <w:r w:rsidRPr="00027F57">
        <w:rPr>
          <w:rFonts w:cstheme="minorHAnsi"/>
        </w:rPr>
        <w:t xml:space="preserve">Het masterplan toegankelijkheid heeft </w:t>
      </w:r>
      <w:r>
        <w:rPr>
          <w:rFonts w:cstheme="minorHAnsi"/>
        </w:rPr>
        <w:t xml:space="preserve">echter </w:t>
      </w:r>
      <w:r w:rsidRPr="00027F57">
        <w:rPr>
          <w:rFonts w:cstheme="minorHAnsi"/>
        </w:rPr>
        <w:t>een tijdshorizont tot 2030. De niet vastgelegde dossiers van 2021 zullen worden gebudgetteerd in 2022.</w:t>
      </w:r>
      <w:bookmarkEnd w:id="1"/>
      <w:r w:rsidRPr="00027F57">
        <w:rPr>
          <w:rFonts w:cstheme="minorHAnsi"/>
        </w:rPr>
        <w:t xml:space="preserve"> Op deze manier wordt gegarandeerd dat elke stad of gemeente de mogelijkheid krijgt om een aanvraag in te dienen en financiële compensatie kan ontvangen indien aan de vooropgestelde criteria voor de subsidieaanvraag wordt voldaan.</w:t>
      </w:r>
    </w:p>
    <w:p w14:paraId="3DA0227D" w14:textId="77777777" w:rsidR="004C0C1E" w:rsidRPr="00027F57" w:rsidRDefault="004C0C1E" w:rsidP="004C0C1E">
      <w:pPr>
        <w:rPr>
          <w:rFonts w:cstheme="minorHAnsi"/>
          <w:strike/>
        </w:rPr>
      </w:pPr>
      <w:r w:rsidRPr="00027F57">
        <w:rPr>
          <w:rFonts w:cstheme="minorHAnsi"/>
        </w:rPr>
        <w:t xml:space="preserve">De subsidie kan ook worden aangevraagd om haltes toegankelijk aan te leggen of her in te richten die gelegen zijn in een </w:t>
      </w:r>
      <w:proofErr w:type="spellStart"/>
      <w:r w:rsidRPr="00027F57">
        <w:rPr>
          <w:rFonts w:cstheme="minorHAnsi"/>
        </w:rPr>
        <w:t>mobipunt</w:t>
      </w:r>
      <w:proofErr w:type="spellEnd"/>
      <w:r w:rsidRPr="00027F57">
        <w:rPr>
          <w:rFonts w:cstheme="minorHAnsi"/>
        </w:rPr>
        <w:t xml:space="preserve">. Deze subsidie is echter niet </w:t>
      </w:r>
      <w:proofErr w:type="spellStart"/>
      <w:r w:rsidRPr="00027F57">
        <w:rPr>
          <w:rFonts w:cstheme="minorHAnsi"/>
        </w:rPr>
        <w:t>cumuleerbaar</w:t>
      </w:r>
      <w:proofErr w:type="spellEnd"/>
      <w:r w:rsidRPr="00027F57">
        <w:rPr>
          <w:rFonts w:cstheme="minorHAnsi"/>
        </w:rPr>
        <w:t xml:space="preserve"> met andere subsidies zoals steun voor de inrichting van een schoolomgeving of herinrichting doortocht waar de aanleg van een openbaar vervoerhalte in is opgenomen.</w:t>
      </w:r>
    </w:p>
    <w:p w14:paraId="4357D998" w14:textId="77777777" w:rsidR="004C0C1E" w:rsidRPr="00AD40DE" w:rsidRDefault="004C0C1E" w:rsidP="004C0C1E">
      <w:pPr>
        <w:rPr>
          <w:rFonts w:cstheme="minorHAnsi"/>
          <w:color w:val="39B9BE"/>
        </w:rPr>
      </w:pPr>
      <w:r w:rsidRPr="00027F57">
        <w:rPr>
          <w:rFonts w:cstheme="minorHAnsi"/>
        </w:rPr>
        <w:br w:type="column"/>
      </w:r>
    </w:p>
    <w:p w14:paraId="1C43814D" w14:textId="77777777" w:rsidR="004C0C1E" w:rsidRPr="00AD40DE" w:rsidRDefault="004C0C1E" w:rsidP="004C0C1E">
      <w:pPr>
        <w:pStyle w:val="Kop2"/>
        <w:numPr>
          <w:ilvl w:val="0"/>
          <w:numId w:val="0"/>
        </w:numPr>
        <w:ind w:left="360" w:hanging="360"/>
        <w:rPr>
          <w:rFonts w:asciiTheme="minorHAnsi" w:hAnsiTheme="minorHAnsi" w:cstheme="minorHAnsi"/>
          <w:color w:val="39B9BE"/>
        </w:rPr>
      </w:pPr>
      <w:r w:rsidRPr="00AD40DE">
        <w:rPr>
          <w:rFonts w:asciiTheme="minorHAnsi" w:hAnsiTheme="minorHAnsi" w:cstheme="minorHAnsi"/>
          <w:color w:val="39B9BE"/>
        </w:rPr>
        <w:t>Bijlage 1: Ontwerprichtlijnen voor een toegankelijke bushalte</w:t>
      </w:r>
    </w:p>
    <w:p w14:paraId="64C41BB8" w14:textId="77777777" w:rsidR="004C0C1E" w:rsidRPr="00AD40DE" w:rsidRDefault="004C0C1E" w:rsidP="004C0C1E">
      <w:pPr>
        <w:pStyle w:val="Kop3"/>
        <w:rPr>
          <w:rFonts w:asciiTheme="minorHAnsi" w:hAnsiTheme="minorHAnsi" w:cstheme="minorHAnsi"/>
          <w:color w:val="auto"/>
        </w:rPr>
      </w:pPr>
      <w:bookmarkStart w:id="2" w:name="_Toc42545343"/>
      <w:bookmarkStart w:id="3" w:name="_Toc42609702"/>
      <w:r w:rsidRPr="00AD40DE">
        <w:rPr>
          <w:rFonts w:asciiTheme="minorHAnsi" w:hAnsiTheme="minorHAnsi" w:cstheme="minorHAnsi"/>
          <w:color w:val="auto"/>
        </w:rPr>
        <w:t xml:space="preserve">Hoogte </w:t>
      </w:r>
      <w:proofErr w:type="spellStart"/>
      <w:r w:rsidRPr="00AD40DE">
        <w:rPr>
          <w:rFonts w:asciiTheme="minorHAnsi" w:hAnsiTheme="minorHAnsi" w:cstheme="minorHAnsi"/>
          <w:color w:val="auto"/>
        </w:rPr>
        <w:t>busperron</w:t>
      </w:r>
      <w:bookmarkEnd w:id="2"/>
      <w:bookmarkEnd w:id="3"/>
      <w:proofErr w:type="spellEnd"/>
    </w:p>
    <w:p w14:paraId="52685D40" w14:textId="77777777" w:rsidR="004C0C1E" w:rsidRPr="00027F57" w:rsidRDefault="004C0C1E" w:rsidP="004C0C1E">
      <w:pPr>
        <w:numPr>
          <w:ilvl w:val="0"/>
          <w:numId w:val="21"/>
        </w:numPr>
        <w:pBdr>
          <w:top w:val="nil"/>
          <w:left w:val="nil"/>
          <w:bottom w:val="nil"/>
          <w:right w:val="nil"/>
          <w:between w:val="nil"/>
        </w:pBdr>
        <w:spacing w:after="0" w:line="240" w:lineRule="auto"/>
        <w:rPr>
          <w:rFonts w:cstheme="minorHAnsi"/>
          <w:color w:val="000000"/>
        </w:rPr>
      </w:pPr>
      <w:r>
        <w:rPr>
          <w:rFonts w:cstheme="minorHAnsi"/>
          <w:color w:val="000000"/>
        </w:rPr>
        <w:t xml:space="preserve">De hoogte bedraagt </w:t>
      </w:r>
      <w:r w:rsidRPr="00027F57">
        <w:rPr>
          <w:rFonts w:cstheme="minorHAnsi"/>
          <w:color w:val="000000"/>
        </w:rPr>
        <w:t>18 centimeter voor een uitstulpende halte (bus zwenkt niet uit over perron)</w:t>
      </w:r>
      <w:r>
        <w:rPr>
          <w:rFonts w:cstheme="minorHAnsi"/>
          <w:color w:val="000000"/>
        </w:rPr>
        <w:t>.</w:t>
      </w:r>
    </w:p>
    <w:p w14:paraId="08CE4050" w14:textId="77777777" w:rsidR="004C0C1E" w:rsidRPr="00027F57" w:rsidRDefault="004C0C1E" w:rsidP="004C0C1E">
      <w:pPr>
        <w:numPr>
          <w:ilvl w:val="0"/>
          <w:numId w:val="21"/>
        </w:numPr>
        <w:pBdr>
          <w:top w:val="nil"/>
          <w:left w:val="nil"/>
          <w:bottom w:val="nil"/>
          <w:right w:val="nil"/>
          <w:between w:val="nil"/>
        </w:pBdr>
        <w:spacing w:after="0" w:line="240" w:lineRule="auto"/>
        <w:rPr>
          <w:rFonts w:cstheme="minorHAnsi"/>
          <w:color w:val="000000"/>
        </w:rPr>
      </w:pPr>
      <w:r>
        <w:rPr>
          <w:rFonts w:cstheme="minorHAnsi"/>
          <w:color w:val="000000"/>
        </w:rPr>
        <w:t xml:space="preserve">De hoogte is </w:t>
      </w:r>
      <w:r w:rsidRPr="00027F57">
        <w:rPr>
          <w:rFonts w:cstheme="minorHAnsi"/>
          <w:color w:val="000000"/>
        </w:rPr>
        <w:t>niet kleiner dan 15 centimeter maar ook niet groter dan 16 centimeter voor een haltehaven of uitstulpende voetpadhalten waar meerdere bussen gelijktijdig moeten halteren en de bussen onafhankelijk van elkaar moeten kunnen vertrekken (bus zwenkt uit over het perron).</w:t>
      </w:r>
    </w:p>
    <w:p w14:paraId="6B85EB4A" w14:textId="77777777" w:rsidR="004C0C1E" w:rsidRPr="00AD40DE" w:rsidRDefault="004C0C1E" w:rsidP="004C0C1E">
      <w:pPr>
        <w:pStyle w:val="Kop3"/>
        <w:rPr>
          <w:rFonts w:asciiTheme="minorHAnsi" w:hAnsiTheme="minorHAnsi" w:cstheme="minorHAnsi"/>
          <w:color w:val="auto"/>
        </w:rPr>
      </w:pPr>
      <w:bookmarkStart w:id="4" w:name="_Toc42545344"/>
      <w:bookmarkStart w:id="5" w:name="_Toc42609703"/>
      <w:r w:rsidRPr="00AD40DE">
        <w:rPr>
          <w:rFonts w:asciiTheme="minorHAnsi" w:hAnsiTheme="minorHAnsi" w:cstheme="minorHAnsi"/>
          <w:color w:val="auto"/>
        </w:rPr>
        <w:t>Aanrijdbare boordstenen</w:t>
      </w:r>
      <w:bookmarkEnd w:id="4"/>
      <w:bookmarkEnd w:id="5"/>
    </w:p>
    <w:p w14:paraId="0BA078DC" w14:textId="77777777" w:rsidR="004C0C1E" w:rsidRPr="00027F57" w:rsidRDefault="004C0C1E" w:rsidP="004C0C1E">
      <w:pPr>
        <w:numPr>
          <w:ilvl w:val="0"/>
          <w:numId w:val="23"/>
        </w:numPr>
        <w:pBdr>
          <w:top w:val="nil"/>
          <w:left w:val="nil"/>
          <w:bottom w:val="nil"/>
          <w:right w:val="nil"/>
          <w:between w:val="nil"/>
        </w:pBdr>
        <w:spacing w:after="0" w:line="270" w:lineRule="auto"/>
        <w:rPr>
          <w:rFonts w:cstheme="minorHAnsi"/>
          <w:color w:val="000000"/>
        </w:rPr>
      </w:pPr>
      <w:r w:rsidRPr="00027F57">
        <w:rPr>
          <w:rFonts w:cstheme="minorHAnsi"/>
          <w:color w:val="000000"/>
        </w:rPr>
        <w:t>De aanrijdbare boordstenen w</w:t>
      </w:r>
      <w:r w:rsidRPr="00027F57">
        <w:rPr>
          <w:rFonts w:cstheme="minorHAnsi"/>
          <w:color w:val="0A0A0A"/>
        </w:rPr>
        <w:t xml:space="preserve">orden minstens over de volledige perronlengte </w:t>
      </w:r>
      <w:r w:rsidRPr="00027F57">
        <w:rPr>
          <w:rFonts w:cstheme="minorHAnsi"/>
          <w:color w:val="000000"/>
        </w:rPr>
        <w:t>aangelegd.</w:t>
      </w:r>
    </w:p>
    <w:p w14:paraId="264956E2" w14:textId="77777777" w:rsidR="004C0C1E" w:rsidRPr="00027F57" w:rsidRDefault="004C0C1E" w:rsidP="004C0C1E">
      <w:pPr>
        <w:numPr>
          <w:ilvl w:val="0"/>
          <w:numId w:val="23"/>
        </w:numPr>
        <w:pBdr>
          <w:top w:val="nil"/>
          <w:left w:val="nil"/>
          <w:bottom w:val="nil"/>
          <w:right w:val="nil"/>
          <w:between w:val="nil"/>
        </w:pBdr>
        <w:spacing w:after="0" w:line="270" w:lineRule="auto"/>
        <w:rPr>
          <w:rFonts w:cstheme="minorHAnsi"/>
          <w:color w:val="000000"/>
        </w:rPr>
      </w:pPr>
      <w:r w:rsidRPr="00027F57">
        <w:rPr>
          <w:rFonts w:cstheme="minorHAnsi"/>
          <w:color w:val="000000"/>
        </w:rPr>
        <w:t>D</w:t>
      </w:r>
      <w:r w:rsidRPr="00027F57">
        <w:rPr>
          <w:rFonts w:cstheme="minorHAnsi"/>
          <w:color w:val="0A0A0A"/>
        </w:rPr>
        <w:t>e aansluiting met gewone boordstenen gebeurt met een verloopband van minimaal één meter</w:t>
      </w:r>
      <w:r w:rsidRPr="00027F57">
        <w:rPr>
          <w:rFonts w:cstheme="minorHAnsi"/>
          <w:color w:val="000000"/>
        </w:rPr>
        <w:t xml:space="preserve">. </w:t>
      </w:r>
      <w:r w:rsidRPr="00027F57">
        <w:rPr>
          <w:rFonts w:cstheme="minorHAnsi"/>
        </w:rPr>
        <w:t xml:space="preserve">De aansluiting van de aanrijdbare boordsteen met gewone boordstenen moet achter het aanrijdvlak blijven. </w:t>
      </w:r>
      <w:r w:rsidRPr="00027F57">
        <w:rPr>
          <w:rFonts w:cstheme="minorHAnsi"/>
          <w:color w:val="000000"/>
        </w:rPr>
        <w:t>B</w:t>
      </w:r>
      <w:r w:rsidRPr="00027F57">
        <w:rPr>
          <w:rFonts w:cstheme="minorHAnsi"/>
          <w:color w:val="0A0A0A"/>
        </w:rPr>
        <w:t>ij haltehavens mogen deze in de hoeken liggen</w:t>
      </w:r>
      <w:r w:rsidRPr="00027F57">
        <w:rPr>
          <w:rFonts w:cstheme="minorHAnsi"/>
          <w:color w:val="000000"/>
        </w:rPr>
        <w:t>.</w:t>
      </w:r>
    </w:p>
    <w:p w14:paraId="6696D01A" w14:textId="77777777" w:rsidR="004C0C1E" w:rsidRPr="00027F57" w:rsidRDefault="004C0C1E" w:rsidP="004C0C1E">
      <w:pPr>
        <w:numPr>
          <w:ilvl w:val="0"/>
          <w:numId w:val="23"/>
        </w:numPr>
        <w:pBdr>
          <w:top w:val="nil"/>
          <w:left w:val="nil"/>
          <w:bottom w:val="nil"/>
          <w:right w:val="nil"/>
          <w:between w:val="nil"/>
        </w:pBdr>
        <w:spacing w:after="0" w:line="270" w:lineRule="auto"/>
        <w:rPr>
          <w:rFonts w:cstheme="minorHAnsi"/>
          <w:color w:val="000000"/>
        </w:rPr>
      </w:pPr>
      <w:r w:rsidRPr="00027F57">
        <w:rPr>
          <w:rFonts w:cstheme="minorHAnsi"/>
          <w:color w:val="000000"/>
        </w:rPr>
        <w:t xml:space="preserve">De </w:t>
      </w:r>
      <w:r w:rsidRPr="00027F57">
        <w:rPr>
          <w:rFonts w:cstheme="minorHAnsi"/>
          <w:color w:val="0A0A0A"/>
        </w:rPr>
        <w:t>uitvoeringskleur van de aanrijdbare boordstenen is wit</w:t>
      </w:r>
      <w:r w:rsidRPr="00027F57">
        <w:rPr>
          <w:rFonts w:cstheme="minorHAnsi"/>
          <w:color w:val="000000"/>
        </w:rPr>
        <w:t>.</w:t>
      </w:r>
    </w:p>
    <w:p w14:paraId="42BA5188" w14:textId="77777777" w:rsidR="004C0C1E" w:rsidRPr="00027F57" w:rsidRDefault="004C0C1E" w:rsidP="004C0C1E">
      <w:pPr>
        <w:numPr>
          <w:ilvl w:val="0"/>
          <w:numId w:val="23"/>
        </w:numPr>
        <w:pBdr>
          <w:top w:val="nil"/>
          <w:left w:val="nil"/>
          <w:bottom w:val="nil"/>
          <w:right w:val="nil"/>
          <w:between w:val="nil"/>
        </w:pBdr>
        <w:spacing w:after="0" w:line="270" w:lineRule="auto"/>
        <w:rPr>
          <w:rFonts w:cstheme="minorHAnsi"/>
          <w:color w:val="0A0A0A"/>
        </w:rPr>
      </w:pPr>
      <w:r w:rsidRPr="00027F57">
        <w:rPr>
          <w:rFonts w:cstheme="minorHAnsi"/>
          <w:color w:val="0A0A0A"/>
        </w:rPr>
        <w:t xml:space="preserve">Perrons ter hoogte van privé-inritten moeten plaatselijk verlaagd worden, de hellingbanen moeten voldoen aan de voorschriften van het </w:t>
      </w:r>
      <w:bookmarkStart w:id="6" w:name="_Hlk40356766"/>
      <w:r w:rsidRPr="00027F57">
        <w:rPr>
          <w:rFonts w:cstheme="minorHAnsi"/>
          <w:color w:val="0A0A0A"/>
        </w:rPr>
        <w:t>Besluit van de Vlaamse Regering houdende vaststelling van een algemene bouwverordening inzake wegen voor voetgangersverkeer</w:t>
      </w:r>
      <w:bookmarkEnd w:id="6"/>
      <w:r w:rsidRPr="00027F57">
        <w:rPr>
          <w:rFonts w:cstheme="minorHAnsi"/>
          <w:color w:val="0A0A0A"/>
        </w:rPr>
        <w:t xml:space="preserve">. </w:t>
      </w:r>
    </w:p>
    <w:p w14:paraId="00D6B151" w14:textId="77777777" w:rsidR="004C0C1E" w:rsidRPr="00AD40DE" w:rsidRDefault="004C0C1E" w:rsidP="004C0C1E">
      <w:pPr>
        <w:pStyle w:val="Kop3"/>
        <w:rPr>
          <w:rFonts w:asciiTheme="minorHAnsi" w:hAnsiTheme="minorHAnsi" w:cstheme="minorHAnsi"/>
          <w:color w:val="auto"/>
        </w:rPr>
      </w:pPr>
      <w:bookmarkStart w:id="7" w:name="_Toc42545346"/>
      <w:bookmarkStart w:id="8" w:name="_Toc42609705"/>
      <w:r w:rsidRPr="00AD40DE">
        <w:rPr>
          <w:rFonts w:asciiTheme="minorHAnsi" w:hAnsiTheme="minorHAnsi" w:cstheme="minorHAnsi"/>
          <w:color w:val="auto"/>
        </w:rPr>
        <w:t>Breedte van het perron</w:t>
      </w:r>
      <w:bookmarkEnd w:id="7"/>
      <w:bookmarkEnd w:id="8"/>
    </w:p>
    <w:p w14:paraId="475D1AE9" w14:textId="77777777" w:rsidR="004C0C1E" w:rsidRPr="00027F57" w:rsidRDefault="004C0C1E" w:rsidP="004C0C1E">
      <w:pPr>
        <w:pStyle w:val="Lijstalinea"/>
        <w:numPr>
          <w:ilvl w:val="0"/>
          <w:numId w:val="26"/>
        </w:numPr>
        <w:spacing w:line="276" w:lineRule="auto"/>
        <w:rPr>
          <w:rFonts w:cstheme="minorHAnsi"/>
        </w:rPr>
      </w:pPr>
      <w:bookmarkStart w:id="9" w:name="_Hlk40364060"/>
      <w:bookmarkStart w:id="10" w:name="_Hlk40364041"/>
      <w:bookmarkStart w:id="11" w:name="_Hlk40362774"/>
      <w:r w:rsidRPr="00027F57">
        <w:rPr>
          <w:rFonts w:cstheme="minorHAnsi"/>
        </w:rPr>
        <w:t xml:space="preserve">Omwille van de eisen van toegankelijkheid bedraagt de breedte van het perron liefst over de volledige lengte, maar zeker ter hoogte van de rolstoeltoegankelijke deur minimaal 2,50 meter. Bij druk gebruikte haltes wordt de breedte van het perron aangepast aan het te verwachten gebruik. </w:t>
      </w:r>
    </w:p>
    <w:p w14:paraId="59DE361C" w14:textId="77777777" w:rsidR="004C0C1E" w:rsidRPr="00027F57" w:rsidRDefault="004C0C1E" w:rsidP="004C0C1E">
      <w:pPr>
        <w:pStyle w:val="Lijstalinea"/>
        <w:numPr>
          <w:ilvl w:val="0"/>
          <w:numId w:val="26"/>
        </w:numPr>
        <w:spacing w:line="276" w:lineRule="auto"/>
        <w:rPr>
          <w:rFonts w:cstheme="minorHAnsi"/>
        </w:rPr>
      </w:pPr>
      <w:bookmarkStart w:id="12" w:name="_Hlk40364077"/>
      <w:bookmarkEnd w:id="9"/>
      <w:r w:rsidRPr="00027F57">
        <w:rPr>
          <w:rFonts w:cstheme="minorHAnsi"/>
        </w:rPr>
        <w:t xml:space="preserve">Er dient altijd rekening gehouden te worden met de minimale obstakelvrije doorgangsbreedte van </w:t>
      </w:r>
      <w:r>
        <w:rPr>
          <w:rFonts w:cstheme="minorHAnsi"/>
        </w:rPr>
        <w:t>1,50</w:t>
      </w:r>
      <w:r w:rsidRPr="00027F57">
        <w:rPr>
          <w:rFonts w:cstheme="minorHAnsi"/>
        </w:rPr>
        <w:t xml:space="preserve"> meter. Ter hoogte van de rolstoeltoegankelijke deur moet de minimale obstakelvrije doorgangsbreedte </w:t>
      </w:r>
      <w:r>
        <w:rPr>
          <w:rFonts w:cstheme="minorHAnsi"/>
        </w:rPr>
        <w:t>2,50</w:t>
      </w:r>
      <w:r w:rsidRPr="00027F57">
        <w:rPr>
          <w:rFonts w:cstheme="minorHAnsi"/>
        </w:rPr>
        <w:t xml:space="preserve"> meter bedragen. Bij een lokale puntversmalling (versmalling over een lengte van max</w:t>
      </w:r>
      <w:r>
        <w:rPr>
          <w:rFonts w:cstheme="minorHAnsi"/>
        </w:rPr>
        <w:t>imum</w:t>
      </w:r>
      <w:r w:rsidRPr="00027F57">
        <w:rPr>
          <w:rFonts w:cstheme="minorHAnsi"/>
        </w:rPr>
        <w:t xml:space="preserve"> 1,20 m</w:t>
      </w:r>
      <w:r>
        <w:rPr>
          <w:rFonts w:cstheme="minorHAnsi"/>
        </w:rPr>
        <w:t>eter</w:t>
      </w:r>
      <w:r w:rsidRPr="00027F57">
        <w:rPr>
          <w:rFonts w:cstheme="minorHAnsi"/>
        </w:rPr>
        <w:t xml:space="preserve">) moet er een breedte van minimum </w:t>
      </w:r>
      <w:r>
        <w:rPr>
          <w:rFonts w:cstheme="minorHAnsi"/>
        </w:rPr>
        <w:t>1</w:t>
      </w:r>
      <w:r w:rsidRPr="00027F57">
        <w:rPr>
          <w:rFonts w:cstheme="minorHAnsi"/>
        </w:rPr>
        <w:t xml:space="preserve"> meter beschikbaar blijven. Voor en na de versmalling is er een vrije draairuimte van minimum </w:t>
      </w:r>
      <w:r>
        <w:rPr>
          <w:rFonts w:cstheme="minorHAnsi"/>
        </w:rPr>
        <w:t>1,50</w:t>
      </w:r>
      <w:r w:rsidRPr="00027F57">
        <w:rPr>
          <w:rFonts w:cstheme="minorHAnsi"/>
        </w:rPr>
        <w:t xml:space="preserve"> meter op </w:t>
      </w:r>
      <w:r>
        <w:rPr>
          <w:rFonts w:cstheme="minorHAnsi"/>
        </w:rPr>
        <w:t>1,50</w:t>
      </w:r>
      <w:r w:rsidRPr="00027F57">
        <w:rPr>
          <w:rFonts w:cstheme="minorHAnsi"/>
        </w:rPr>
        <w:t xml:space="preserve"> meter.</w:t>
      </w:r>
    </w:p>
    <w:p w14:paraId="3CCEB0D4" w14:textId="77777777" w:rsidR="004C0C1E" w:rsidRPr="00027F57" w:rsidRDefault="004C0C1E" w:rsidP="004C0C1E">
      <w:pPr>
        <w:pStyle w:val="Kop3"/>
        <w:rPr>
          <w:rFonts w:asciiTheme="minorHAnsi" w:hAnsiTheme="minorHAnsi" w:cstheme="minorHAnsi"/>
        </w:rPr>
      </w:pPr>
      <w:bookmarkStart w:id="13" w:name="_Toc42545347"/>
      <w:bookmarkStart w:id="14" w:name="_Toc42609706"/>
      <w:bookmarkStart w:id="15" w:name="_Hlk40364146"/>
      <w:bookmarkEnd w:id="10"/>
      <w:bookmarkEnd w:id="11"/>
      <w:bookmarkEnd w:id="12"/>
      <w:r w:rsidRPr="00AD40DE">
        <w:rPr>
          <w:rFonts w:asciiTheme="minorHAnsi" w:hAnsiTheme="minorHAnsi" w:cstheme="minorHAnsi"/>
          <w:color w:val="auto"/>
        </w:rPr>
        <w:t>Perronverharding</w:t>
      </w:r>
      <w:bookmarkEnd w:id="13"/>
      <w:bookmarkEnd w:id="14"/>
    </w:p>
    <w:p w14:paraId="60629AFE" w14:textId="77777777" w:rsidR="004C0C1E" w:rsidRPr="00027F57" w:rsidRDefault="004C0C1E" w:rsidP="004C0C1E">
      <w:pPr>
        <w:pStyle w:val="Lijstalinea"/>
        <w:numPr>
          <w:ilvl w:val="0"/>
          <w:numId w:val="27"/>
        </w:numPr>
        <w:spacing w:after="200" w:line="276" w:lineRule="auto"/>
        <w:rPr>
          <w:rFonts w:cstheme="minorHAnsi"/>
        </w:rPr>
      </w:pPr>
      <w:r w:rsidRPr="00027F57">
        <w:rPr>
          <w:rFonts w:cstheme="minorHAnsi"/>
        </w:rPr>
        <w:t xml:space="preserve">De verharding van het perron is volledig vlak en slipvrij. De dwarshelling van het perron bedraagt maximum 2%. </w:t>
      </w:r>
    </w:p>
    <w:p w14:paraId="41E0E448" w14:textId="77777777" w:rsidR="004C0C1E" w:rsidRPr="00AD40DE" w:rsidRDefault="004C0C1E" w:rsidP="004C0C1E">
      <w:pPr>
        <w:pStyle w:val="Kop3"/>
        <w:rPr>
          <w:rFonts w:asciiTheme="minorHAnsi" w:hAnsiTheme="minorHAnsi" w:cstheme="minorHAnsi"/>
          <w:color w:val="auto"/>
        </w:rPr>
      </w:pPr>
      <w:bookmarkStart w:id="16" w:name="_Toc42545348"/>
      <w:bookmarkStart w:id="17" w:name="_Toc42609707"/>
      <w:bookmarkStart w:id="18" w:name="_Hlk40364313"/>
      <w:bookmarkEnd w:id="15"/>
      <w:r w:rsidRPr="00AD40DE">
        <w:rPr>
          <w:rFonts w:asciiTheme="minorHAnsi" w:hAnsiTheme="minorHAnsi" w:cstheme="minorHAnsi"/>
          <w:color w:val="auto"/>
        </w:rPr>
        <w:t>Bereikbaarheid van het perron</w:t>
      </w:r>
      <w:bookmarkEnd w:id="16"/>
      <w:bookmarkEnd w:id="17"/>
    </w:p>
    <w:p w14:paraId="6BA2681C" w14:textId="77777777" w:rsidR="004C0C1E" w:rsidRPr="00027F57" w:rsidRDefault="004C0C1E" w:rsidP="004C0C1E">
      <w:pPr>
        <w:pStyle w:val="Lijstalinea"/>
        <w:numPr>
          <w:ilvl w:val="0"/>
          <w:numId w:val="28"/>
        </w:numPr>
        <w:rPr>
          <w:rFonts w:cstheme="minorHAnsi"/>
        </w:rPr>
      </w:pPr>
      <w:bookmarkStart w:id="19" w:name="_Hlk40364408"/>
      <w:bookmarkEnd w:id="18"/>
      <w:r w:rsidRPr="00027F57">
        <w:rPr>
          <w:rFonts w:cstheme="minorHAnsi"/>
        </w:rPr>
        <w:t xml:space="preserve">Het perron is drempelloos bereikbaar. Hellingbanen moeten voldoen aan de voorschriften van het Besluit van de Vlaamse Regering houdende vaststelling van een algemene bouwverordening inzake wegen voor voetgangersverkeer. </w:t>
      </w:r>
    </w:p>
    <w:p w14:paraId="5080DEBA" w14:textId="77777777" w:rsidR="004C0C1E" w:rsidRPr="00AD40DE" w:rsidRDefault="004C0C1E" w:rsidP="004C0C1E">
      <w:pPr>
        <w:pStyle w:val="Kop3"/>
        <w:rPr>
          <w:rFonts w:asciiTheme="minorHAnsi" w:hAnsiTheme="minorHAnsi" w:cstheme="minorHAnsi"/>
          <w:color w:val="auto"/>
        </w:rPr>
      </w:pPr>
      <w:bookmarkStart w:id="20" w:name="_Toc42545349"/>
      <w:bookmarkStart w:id="21" w:name="_Toc42609708"/>
      <w:bookmarkEnd w:id="19"/>
      <w:r w:rsidRPr="00AD40DE">
        <w:rPr>
          <w:rFonts w:asciiTheme="minorHAnsi" w:hAnsiTheme="minorHAnsi" w:cstheme="minorHAnsi"/>
          <w:color w:val="auto"/>
        </w:rPr>
        <w:t>Tactiele geleiding</w:t>
      </w:r>
      <w:bookmarkEnd w:id="20"/>
      <w:bookmarkEnd w:id="21"/>
    </w:p>
    <w:p w14:paraId="7AED566A" w14:textId="77777777" w:rsidR="004C0C1E" w:rsidRPr="00027F57" w:rsidRDefault="004C0C1E" w:rsidP="004C0C1E">
      <w:pPr>
        <w:pStyle w:val="Lijstalinea"/>
        <w:numPr>
          <w:ilvl w:val="0"/>
          <w:numId w:val="36"/>
        </w:numPr>
        <w:rPr>
          <w:rFonts w:cstheme="minorHAnsi"/>
        </w:rPr>
      </w:pPr>
      <w:bookmarkStart w:id="22" w:name="_Hlk40366716"/>
      <w:r w:rsidRPr="00027F57">
        <w:rPr>
          <w:rFonts w:cstheme="minorHAnsi"/>
        </w:rPr>
        <w:t>Om een halte toegankelijk te maken voor blinden en slechtzienden wordt de nodige tactiele geleiding voorzien. Omdat iedere aanduiding berust op conventies moet worden gewaakt over de juiste toepassing ervan:</w:t>
      </w:r>
    </w:p>
    <w:p w14:paraId="7E192055" w14:textId="77777777" w:rsidR="004C0C1E" w:rsidRPr="00027F57" w:rsidRDefault="004C0C1E" w:rsidP="004C0C1E">
      <w:pPr>
        <w:pStyle w:val="Lijstalinea"/>
        <w:numPr>
          <w:ilvl w:val="0"/>
          <w:numId w:val="22"/>
        </w:numPr>
        <w:spacing w:after="0" w:line="240" w:lineRule="atLeast"/>
        <w:rPr>
          <w:rFonts w:cstheme="minorHAnsi"/>
        </w:rPr>
      </w:pPr>
      <w:r w:rsidRPr="00027F57">
        <w:rPr>
          <w:rFonts w:cstheme="minorHAnsi"/>
        </w:rPr>
        <w:t>het opstapvlak wordt aangeduid met een vlak van 90 centimeter bij 90 centimeter in rubbertegels</w:t>
      </w:r>
    </w:p>
    <w:p w14:paraId="24FA5896" w14:textId="77777777" w:rsidR="004C0C1E" w:rsidRPr="00027F57" w:rsidRDefault="004C0C1E" w:rsidP="004C0C1E">
      <w:pPr>
        <w:pStyle w:val="Lijstalinea"/>
        <w:numPr>
          <w:ilvl w:val="0"/>
          <w:numId w:val="22"/>
        </w:numPr>
        <w:spacing w:after="0" w:line="240" w:lineRule="atLeast"/>
        <w:rPr>
          <w:rFonts w:cstheme="minorHAnsi"/>
        </w:rPr>
      </w:pPr>
      <w:r w:rsidRPr="00027F57">
        <w:rPr>
          <w:rFonts w:cstheme="minorHAnsi"/>
        </w:rPr>
        <w:lastRenderedPageBreak/>
        <w:t xml:space="preserve">de kunstmatige </w:t>
      </w:r>
      <w:proofErr w:type="spellStart"/>
      <w:r w:rsidRPr="00027F57">
        <w:rPr>
          <w:rFonts w:cstheme="minorHAnsi"/>
        </w:rPr>
        <w:t>geleidelijn</w:t>
      </w:r>
      <w:proofErr w:type="spellEnd"/>
      <w:r w:rsidRPr="00027F57">
        <w:rPr>
          <w:rFonts w:cstheme="minorHAnsi"/>
        </w:rPr>
        <w:t xml:space="preserve"> in ribbeltegels of ribbelmarkering van 60 centimeter breedte maakt een verbinding tot aan de natuurlijke gidslijn</w:t>
      </w:r>
    </w:p>
    <w:p w14:paraId="33254823" w14:textId="77777777" w:rsidR="004C0C1E" w:rsidRPr="00027F57" w:rsidRDefault="004C0C1E" w:rsidP="004C0C1E">
      <w:pPr>
        <w:spacing w:after="0" w:line="240" w:lineRule="atLeast"/>
        <w:rPr>
          <w:rFonts w:cstheme="minorHAnsi"/>
        </w:rPr>
      </w:pPr>
    </w:p>
    <w:p w14:paraId="384D31CB" w14:textId="77777777" w:rsidR="004C0C1E" w:rsidRPr="00AD40DE" w:rsidRDefault="004C0C1E" w:rsidP="004C0C1E">
      <w:pPr>
        <w:pStyle w:val="Kop3"/>
        <w:rPr>
          <w:rFonts w:asciiTheme="minorHAnsi" w:hAnsiTheme="minorHAnsi" w:cstheme="minorHAnsi"/>
          <w:color w:val="auto"/>
        </w:rPr>
      </w:pPr>
      <w:r w:rsidRPr="00AD40DE">
        <w:rPr>
          <w:rFonts w:asciiTheme="minorHAnsi" w:hAnsiTheme="minorHAnsi" w:cstheme="minorHAnsi"/>
          <w:color w:val="auto"/>
        </w:rPr>
        <w:t>Correct aangelegd fietspad</w:t>
      </w:r>
    </w:p>
    <w:p w14:paraId="047C12BD" w14:textId="77777777" w:rsidR="004C0C1E" w:rsidRPr="00027F57" w:rsidRDefault="004C0C1E" w:rsidP="004C0C1E">
      <w:pPr>
        <w:rPr>
          <w:rFonts w:cstheme="minorHAnsi"/>
        </w:rPr>
      </w:pPr>
      <w:r w:rsidRPr="00027F57">
        <w:rPr>
          <w:rFonts w:cstheme="minorHAnsi"/>
        </w:rPr>
        <w:t xml:space="preserve">Om conflicten tussen fietsers en in- of uitstappende reizigers te voorkomen is het belangrijk om het fietspad op een juiste wijze te positioneren ter hoogte van het </w:t>
      </w:r>
      <w:proofErr w:type="spellStart"/>
      <w:r w:rsidRPr="00027F57">
        <w:rPr>
          <w:rFonts w:cstheme="minorHAnsi"/>
        </w:rPr>
        <w:t>busperron</w:t>
      </w:r>
      <w:proofErr w:type="spellEnd"/>
      <w:r w:rsidRPr="00027F57">
        <w:rPr>
          <w:rFonts w:cstheme="minorHAnsi"/>
        </w:rPr>
        <w:t>.</w:t>
      </w:r>
    </w:p>
    <w:p w14:paraId="26E795E8" w14:textId="77777777" w:rsidR="004C0C1E" w:rsidRPr="00027F57" w:rsidRDefault="004C0C1E" w:rsidP="004C0C1E">
      <w:pPr>
        <w:pStyle w:val="Lijstalinea"/>
        <w:numPr>
          <w:ilvl w:val="0"/>
          <w:numId w:val="32"/>
        </w:numPr>
        <w:rPr>
          <w:rFonts w:cstheme="minorHAnsi"/>
        </w:rPr>
      </w:pPr>
      <w:r w:rsidRPr="00027F57">
        <w:rPr>
          <w:rFonts w:cstheme="minorHAnsi"/>
        </w:rPr>
        <w:t xml:space="preserve">Bussen mogen niet op een fietspad stoppen. Wanneer een fietspad voor een verhoogd </w:t>
      </w:r>
      <w:proofErr w:type="spellStart"/>
      <w:r w:rsidRPr="00027F57">
        <w:rPr>
          <w:rFonts w:cstheme="minorHAnsi"/>
        </w:rPr>
        <w:t>busperron</w:t>
      </w:r>
      <w:proofErr w:type="spellEnd"/>
      <w:r w:rsidRPr="00027F57">
        <w:rPr>
          <w:rFonts w:cstheme="minorHAnsi"/>
        </w:rPr>
        <w:t xml:space="preserve"> is gelegen moet de bus toch langs het fietspad stoppen, waardoor de verhoogde aanleg van het perron geen enkel nut heeft. </w:t>
      </w:r>
    </w:p>
    <w:p w14:paraId="1D6EB66E" w14:textId="77777777" w:rsidR="004C0C1E" w:rsidRPr="00027F57" w:rsidRDefault="004C0C1E" w:rsidP="004C0C1E">
      <w:pPr>
        <w:pStyle w:val="Lijstalinea"/>
        <w:numPr>
          <w:ilvl w:val="0"/>
          <w:numId w:val="32"/>
        </w:numPr>
        <w:rPr>
          <w:rFonts w:cstheme="minorHAnsi"/>
        </w:rPr>
      </w:pPr>
      <w:r w:rsidRPr="00027F57">
        <w:rPr>
          <w:rFonts w:cstheme="minorHAnsi"/>
        </w:rPr>
        <w:t xml:space="preserve">Een fietspad wordt dus best achter de bushalte gelegd. Als het op hetzelfde niveau van het </w:t>
      </w:r>
      <w:proofErr w:type="spellStart"/>
      <w:r w:rsidRPr="00027F57">
        <w:rPr>
          <w:rFonts w:cstheme="minorHAnsi"/>
        </w:rPr>
        <w:t>busperron</w:t>
      </w:r>
      <w:proofErr w:type="spellEnd"/>
      <w:r w:rsidRPr="00027F57">
        <w:rPr>
          <w:rFonts w:cstheme="minorHAnsi"/>
        </w:rPr>
        <w:t xml:space="preserve"> ligt, moet er een minimale tussenafstand van 1 meter tussen de rand van de perronboord en de rand van het fietspad zijn.</w:t>
      </w:r>
    </w:p>
    <w:p w14:paraId="3B5968F0" w14:textId="77777777" w:rsidR="004C0C1E" w:rsidRPr="00027F57" w:rsidRDefault="004C0C1E" w:rsidP="004C0C1E">
      <w:pPr>
        <w:pStyle w:val="Lijstalinea"/>
        <w:numPr>
          <w:ilvl w:val="0"/>
          <w:numId w:val="32"/>
        </w:numPr>
        <w:rPr>
          <w:rFonts w:cstheme="minorHAnsi"/>
        </w:rPr>
      </w:pPr>
      <w:r w:rsidRPr="00027F57">
        <w:rPr>
          <w:rFonts w:cstheme="minorHAnsi"/>
        </w:rPr>
        <w:t xml:space="preserve">Opgelet: een fietssuggestiestrook is geen fietspad, maar een aanduiding van de plaats van de fietser op de rijbaan in een situatie van gemengd auto- en fietsverkeer. Een bus mag bijgevolg wel op een fietssuggestiestrook halt houden. </w:t>
      </w:r>
    </w:p>
    <w:bookmarkEnd w:id="22"/>
    <w:p w14:paraId="7F489388" w14:textId="77777777" w:rsidR="008A3047" w:rsidRPr="00027F57" w:rsidRDefault="008A3047" w:rsidP="00711A4B">
      <w:pPr>
        <w:rPr>
          <w:rFonts w:cstheme="minorHAnsi"/>
        </w:rPr>
      </w:pPr>
    </w:p>
    <w:p w14:paraId="127D2CDD" w14:textId="77777777" w:rsidR="004C0C1E" w:rsidRDefault="008A3047" w:rsidP="00711A4B">
      <w:pPr>
        <w:rPr>
          <w:rFonts w:eastAsia="Times New Roman" w:cstheme="minorHAnsi"/>
        </w:rPr>
      </w:pPr>
      <w:bookmarkStart w:id="23" w:name="_Hlk69394110"/>
      <w:r w:rsidRPr="00027F57">
        <w:rPr>
          <w:rFonts w:cstheme="minorHAnsi"/>
        </w:rPr>
        <w:t xml:space="preserve">Zie ook </w:t>
      </w:r>
      <w:r w:rsidR="000B7C6A" w:rsidRPr="00027F57">
        <w:rPr>
          <w:rFonts w:cstheme="minorHAnsi"/>
        </w:rPr>
        <w:t xml:space="preserve">de principe </w:t>
      </w:r>
      <w:r w:rsidR="00601ED8" w:rsidRPr="00027F57">
        <w:rPr>
          <w:rFonts w:cstheme="minorHAnsi"/>
        </w:rPr>
        <w:t>ontwerpen voor een rijbaanhalte en een haltehaven</w:t>
      </w:r>
      <w:r w:rsidRPr="00027F57">
        <w:rPr>
          <w:rFonts w:cstheme="minorHAnsi"/>
        </w:rPr>
        <w:t xml:space="preserve"> (hieronder). Meer info vind je in de</w:t>
      </w:r>
      <w:r w:rsidR="00592B84" w:rsidRPr="00027F57">
        <w:rPr>
          <w:rFonts w:cstheme="minorHAnsi"/>
        </w:rPr>
        <w:t xml:space="preserve"> brochure </w:t>
      </w:r>
      <w:hyperlink r:id="rId9" w:history="1">
        <w:r w:rsidR="004C0C1E" w:rsidRPr="00033265">
          <w:rPr>
            <w:rStyle w:val="Hyperlink"/>
          </w:rPr>
          <w:t>toegankelijk</w:t>
        </w:r>
        <w:r w:rsidR="004C0C1E" w:rsidRPr="00033265">
          <w:rPr>
            <w:rStyle w:val="Hyperlink"/>
          </w:rPr>
          <w:t>e</w:t>
        </w:r>
        <w:r w:rsidR="004C0C1E">
          <w:rPr>
            <w:rStyle w:val="Hyperlink"/>
          </w:rPr>
          <w:t xml:space="preserve"> </w:t>
        </w:r>
        <w:r w:rsidR="004C0C1E" w:rsidRPr="00033265">
          <w:rPr>
            <w:rStyle w:val="Hyperlink"/>
          </w:rPr>
          <w:t>haltes</w:t>
        </w:r>
      </w:hyperlink>
      <w:r w:rsidR="004C0C1E">
        <w:t xml:space="preserve"> </w:t>
      </w:r>
      <w:r w:rsidR="00592B84" w:rsidRPr="00027F57">
        <w:rPr>
          <w:rFonts w:cstheme="minorHAnsi"/>
        </w:rPr>
        <w:t xml:space="preserve"> </w:t>
      </w:r>
      <w:r w:rsidR="000B7C6A" w:rsidRPr="00027F57">
        <w:rPr>
          <w:rFonts w:cstheme="minorHAnsi"/>
        </w:rPr>
        <w:t>en de</w:t>
      </w:r>
      <w:r w:rsidR="004C0C1E">
        <w:rPr>
          <w:rFonts w:cstheme="minorHAnsi"/>
        </w:rPr>
        <w:t xml:space="preserve"> </w:t>
      </w:r>
      <w:hyperlink r:id="rId10" w:history="1">
        <w:r w:rsidR="004C0C1E">
          <w:rPr>
            <w:rStyle w:val="Hyperlink"/>
            <w:rFonts w:cstheme="minorHAnsi"/>
          </w:rPr>
          <w:t>bushaltegids</w:t>
        </w:r>
      </w:hyperlink>
      <w:r w:rsidR="000B7C6A" w:rsidRPr="00027F57">
        <w:rPr>
          <w:rFonts w:eastAsia="Times New Roman" w:cstheme="minorHAnsi"/>
        </w:rPr>
        <w:t xml:space="preserve">. </w:t>
      </w:r>
    </w:p>
    <w:p w14:paraId="11FC3835" w14:textId="2FCDD1D5" w:rsidR="003834F4" w:rsidRPr="00027F57" w:rsidRDefault="004C0C1E" w:rsidP="00711A4B">
      <w:pPr>
        <w:rPr>
          <w:rFonts w:cstheme="minorHAnsi"/>
        </w:rPr>
      </w:pPr>
      <w:r>
        <w:t xml:space="preserve">Via </w:t>
      </w:r>
      <w:hyperlink r:id="rId11" w:history="1">
        <w:r w:rsidRPr="00033265">
          <w:rPr>
            <w:rStyle w:val="Hyperlink"/>
          </w:rPr>
          <w:t>www.vlaanderen.be/basisbereikbaarheid/masterplan-toegankelijkheid.be</w:t>
        </w:r>
      </w:hyperlink>
      <w:r>
        <w:t xml:space="preserve"> </w:t>
      </w:r>
      <w:r>
        <w:t>vind je alle actuele informatie over het Masterplan Toegankelijkheid. Binnenkort wordt op deze webpagina een ‘lerend netwerk’–platform toegevoegd. Dat bundelt voor lokale overheden alle praktische informatie over het Masterplan Toegankelijkheid. Op dat platform zal je onder meer goede voorbeelden, praktische tips en aandachtspunten terugvinden maar ook praktische instrumenten. De Vlaamse overheid werkt daarvoor samen met Inter, agentschap toegankelijk Vlaanderen.</w:t>
      </w:r>
    </w:p>
    <w:bookmarkEnd w:id="23"/>
    <w:p w14:paraId="55F4DDF3" w14:textId="2C63BC2A" w:rsidR="00AE6E3D" w:rsidRPr="00027F57" w:rsidRDefault="00AE6E3D" w:rsidP="00A17AC8">
      <w:pPr>
        <w:pStyle w:val="Kop2"/>
        <w:numPr>
          <w:ilvl w:val="0"/>
          <w:numId w:val="0"/>
        </w:numPr>
        <w:ind w:left="360" w:hanging="360"/>
        <w:rPr>
          <w:rStyle w:val="Kop1Char"/>
          <w:rFonts w:asciiTheme="minorHAnsi" w:hAnsiTheme="minorHAnsi" w:cstheme="minorHAnsi"/>
        </w:rPr>
      </w:pPr>
      <w:r w:rsidRPr="00027F57">
        <w:rPr>
          <w:rFonts w:asciiTheme="minorHAnsi" w:hAnsiTheme="minorHAnsi" w:cstheme="minorHAnsi"/>
        </w:rPr>
        <w:br w:type="column"/>
      </w:r>
      <w:r w:rsidR="00A17AC8" w:rsidRPr="00AD40DE">
        <w:rPr>
          <w:rFonts w:asciiTheme="minorHAnsi" w:hAnsiTheme="minorHAnsi" w:cstheme="minorHAnsi"/>
          <w:color w:val="39B9BE"/>
        </w:rPr>
        <w:lastRenderedPageBreak/>
        <w:t>Bijlage 2: P</w:t>
      </w:r>
      <w:r w:rsidR="000B7C6A" w:rsidRPr="00AD40DE">
        <w:rPr>
          <w:rFonts w:asciiTheme="minorHAnsi" w:hAnsiTheme="minorHAnsi" w:cstheme="minorHAnsi"/>
          <w:color w:val="39B9BE"/>
        </w:rPr>
        <w:t>rincipeontwer</w:t>
      </w:r>
      <w:r w:rsidRPr="00AD40DE">
        <w:rPr>
          <w:rFonts w:asciiTheme="minorHAnsi" w:hAnsiTheme="minorHAnsi" w:cstheme="minorHAnsi"/>
          <w:color w:val="39B9BE"/>
        </w:rPr>
        <w:t>pen bushalte</w:t>
      </w:r>
    </w:p>
    <w:p w14:paraId="2DF397AF" w14:textId="77777777" w:rsidR="00AE6E3D" w:rsidRPr="00027F57" w:rsidRDefault="00AE6E3D" w:rsidP="00AE6E3D">
      <w:pPr>
        <w:spacing w:line="240" w:lineRule="auto"/>
        <w:ind w:left="540"/>
        <w:textAlignment w:val="center"/>
        <w:rPr>
          <w:rFonts w:cstheme="minorHAnsi"/>
        </w:rPr>
      </w:pPr>
    </w:p>
    <w:p w14:paraId="750ED755" w14:textId="095AEFC4" w:rsidR="00AE6E3D" w:rsidRPr="00027F57" w:rsidRDefault="00AE6E3D" w:rsidP="00AE6E3D">
      <w:pPr>
        <w:rPr>
          <w:rFonts w:cstheme="minorHAnsi"/>
        </w:rPr>
      </w:pPr>
      <w:r w:rsidRPr="00027F57">
        <w:rPr>
          <w:rFonts w:cstheme="minorHAnsi"/>
          <w:noProof/>
        </w:rPr>
        <w:drawing>
          <wp:anchor distT="0" distB="0" distL="114300" distR="114300" simplePos="0" relativeHeight="251659264" behindDoc="1" locked="0" layoutInCell="1" allowOverlap="1" wp14:anchorId="0AF099EE" wp14:editId="4B4DF4F6">
            <wp:simplePos x="0" y="0"/>
            <wp:positionH relativeFrom="margin">
              <wp:posOffset>-1477152</wp:posOffset>
            </wp:positionH>
            <wp:positionV relativeFrom="paragraph">
              <wp:posOffset>699913</wp:posOffset>
            </wp:positionV>
            <wp:extent cx="9383884" cy="6439331"/>
            <wp:effectExtent l="5398"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383884" cy="643933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6E3D" w:rsidRPr="0002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3F7"/>
    <w:multiLevelType w:val="multilevel"/>
    <w:tmpl w:val="81E82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53F15"/>
    <w:multiLevelType w:val="multilevel"/>
    <w:tmpl w:val="A4108DFA"/>
    <w:lvl w:ilvl="0">
      <w:start w:val="1"/>
      <w:numFmt w:val="decimal"/>
      <w:pStyle w:val="Kop1"/>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A12B43"/>
    <w:multiLevelType w:val="hybridMultilevel"/>
    <w:tmpl w:val="D6F2AA14"/>
    <w:lvl w:ilvl="0" w:tplc="08130001">
      <w:start w:val="1"/>
      <w:numFmt w:val="bullet"/>
      <w:lvlText w:val=""/>
      <w:lvlJc w:val="left"/>
      <w:pPr>
        <w:ind w:left="1919" w:hanging="360"/>
      </w:pPr>
      <w:rPr>
        <w:rFonts w:ascii="Symbol" w:hAnsi="Symbol" w:hint="default"/>
      </w:rPr>
    </w:lvl>
    <w:lvl w:ilvl="1" w:tplc="08130003" w:tentative="1">
      <w:start w:val="1"/>
      <w:numFmt w:val="bullet"/>
      <w:lvlText w:val="o"/>
      <w:lvlJc w:val="left"/>
      <w:pPr>
        <w:ind w:left="2639" w:hanging="360"/>
      </w:pPr>
      <w:rPr>
        <w:rFonts w:ascii="Courier New" w:hAnsi="Courier New" w:cs="Courier New" w:hint="default"/>
      </w:rPr>
    </w:lvl>
    <w:lvl w:ilvl="2" w:tplc="08130005" w:tentative="1">
      <w:start w:val="1"/>
      <w:numFmt w:val="bullet"/>
      <w:lvlText w:val=""/>
      <w:lvlJc w:val="left"/>
      <w:pPr>
        <w:ind w:left="3359" w:hanging="360"/>
      </w:pPr>
      <w:rPr>
        <w:rFonts w:ascii="Wingdings" w:hAnsi="Wingdings" w:hint="default"/>
      </w:rPr>
    </w:lvl>
    <w:lvl w:ilvl="3" w:tplc="08130001" w:tentative="1">
      <w:start w:val="1"/>
      <w:numFmt w:val="bullet"/>
      <w:lvlText w:val=""/>
      <w:lvlJc w:val="left"/>
      <w:pPr>
        <w:ind w:left="4079" w:hanging="360"/>
      </w:pPr>
      <w:rPr>
        <w:rFonts w:ascii="Symbol" w:hAnsi="Symbol" w:hint="default"/>
      </w:rPr>
    </w:lvl>
    <w:lvl w:ilvl="4" w:tplc="08130003" w:tentative="1">
      <w:start w:val="1"/>
      <w:numFmt w:val="bullet"/>
      <w:lvlText w:val="o"/>
      <w:lvlJc w:val="left"/>
      <w:pPr>
        <w:ind w:left="4799" w:hanging="360"/>
      </w:pPr>
      <w:rPr>
        <w:rFonts w:ascii="Courier New" w:hAnsi="Courier New" w:cs="Courier New" w:hint="default"/>
      </w:rPr>
    </w:lvl>
    <w:lvl w:ilvl="5" w:tplc="08130005" w:tentative="1">
      <w:start w:val="1"/>
      <w:numFmt w:val="bullet"/>
      <w:lvlText w:val=""/>
      <w:lvlJc w:val="left"/>
      <w:pPr>
        <w:ind w:left="5519" w:hanging="360"/>
      </w:pPr>
      <w:rPr>
        <w:rFonts w:ascii="Wingdings" w:hAnsi="Wingdings" w:hint="default"/>
      </w:rPr>
    </w:lvl>
    <w:lvl w:ilvl="6" w:tplc="08130001" w:tentative="1">
      <w:start w:val="1"/>
      <w:numFmt w:val="bullet"/>
      <w:lvlText w:val=""/>
      <w:lvlJc w:val="left"/>
      <w:pPr>
        <w:ind w:left="6239" w:hanging="360"/>
      </w:pPr>
      <w:rPr>
        <w:rFonts w:ascii="Symbol" w:hAnsi="Symbol" w:hint="default"/>
      </w:rPr>
    </w:lvl>
    <w:lvl w:ilvl="7" w:tplc="08130003" w:tentative="1">
      <w:start w:val="1"/>
      <w:numFmt w:val="bullet"/>
      <w:lvlText w:val="o"/>
      <w:lvlJc w:val="left"/>
      <w:pPr>
        <w:ind w:left="6959" w:hanging="360"/>
      </w:pPr>
      <w:rPr>
        <w:rFonts w:ascii="Courier New" w:hAnsi="Courier New" w:cs="Courier New" w:hint="default"/>
      </w:rPr>
    </w:lvl>
    <w:lvl w:ilvl="8" w:tplc="08130005" w:tentative="1">
      <w:start w:val="1"/>
      <w:numFmt w:val="bullet"/>
      <w:lvlText w:val=""/>
      <w:lvlJc w:val="left"/>
      <w:pPr>
        <w:ind w:left="7679" w:hanging="360"/>
      </w:pPr>
      <w:rPr>
        <w:rFonts w:ascii="Wingdings" w:hAnsi="Wingdings" w:hint="default"/>
      </w:rPr>
    </w:lvl>
  </w:abstractNum>
  <w:abstractNum w:abstractNumId="3" w15:restartNumberingAfterBreak="0">
    <w:nsid w:val="02F94BC6"/>
    <w:multiLevelType w:val="multilevel"/>
    <w:tmpl w:val="4C26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F3489"/>
    <w:multiLevelType w:val="hybridMultilevel"/>
    <w:tmpl w:val="C6AEB4F8"/>
    <w:lvl w:ilvl="0" w:tplc="5204DB12">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76522E"/>
    <w:multiLevelType w:val="hybridMultilevel"/>
    <w:tmpl w:val="EE32B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203BE4"/>
    <w:multiLevelType w:val="hybridMultilevel"/>
    <w:tmpl w:val="8FFA0A78"/>
    <w:lvl w:ilvl="0" w:tplc="08130001">
      <w:start w:val="1"/>
      <w:numFmt w:val="bullet"/>
      <w:lvlText w:val=""/>
      <w:lvlJc w:val="left"/>
      <w:pPr>
        <w:ind w:left="1764" w:hanging="360"/>
      </w:pPr>
      <w:rPr>
        <w:rFonts w:ascii="Symbol" w:hAnsi="Symbol" w:hint="default"/>
      </w:rPr>
    </w:lvl>
    <w:lvl w:ilvl="1" w:tplc="08130003" w:tentative="1">
      <w:start w:val="1"/>
      <w:numFmt w:val="bullet"/>
      <w:lvlText w:val="o"/>
      <w:lvlJc w:val="left"/>
      <w:pPr>
        <w:ind w:left="2484" w:hanging="360"/>
      </w:pPr>
      <w:rPr>
        <w:rFonts w:ascii="Courier New" w:hAnsi="Courier New" w:cs="Courier New" w:hint="default"/>
      </w:rPr>
    </w:lvl>
    <w:lvl w:ilvl="2" w:tplc="08130005" w:tentative="1">
      <w:start w:val="1"/>
      <w:numFmt w:val="bullet"/>
      <w:lvlText w:val=""/>
      <w:lvlJc w:val="left"/>
      <w:pPr>
        <w:ind w:left="3204" w:hanging="360"/>
      </w:pPr>
      <w:rPr>
        <w:rFonts w:ascii="Wingdings" w:hAnsi="Wingdings" w:hint="default"/>
      </w:rPr>
    </w:lvl>
    <w:lvl w:ilvl="3" w:tplc="08130001" w:tentative="1">
      <w:start w:val="1"/>
      <w:numFmt w:val="bullet"/>
      <w:lvlText w:val=""/>
      <w:lvlJc w:val="left"/>
      <w:pPr>
        <w:ind w:left="3924" w:hanging="360"/>
      </w:pPr>
      <w:rPr>
        <w:rFonts w:ascii="Symbol" w:hAnsi="Symbol" w:hint="default"/>
      </w:rPr>
    </w:lvl>
    <w:lvl w:ilvl="4" w:tplc="08130003" w:tentative="1">
      <w:start w:val="1"/>
      <w:numFmt w:val="bullet"/>
      <w:lvlText w:val="o"/>
      <w:lvlJc w:val="left"/>
      <w:pPr>
        <w:ind w:left="4644" w:hanging="360"/>
      </w:pPr>
      <w:rPr>
        <w:rFonts w:ascii="Courier New" w:hAnsi="Courier New" w:cs="Courier New" w:hint="default"/>
      </w:rPr>
    </w:lvl>
    <w:lvl w:ilvl="5" w:tplc="08130005" w:tentative="1">
      <w:start w:val="1"/>
      <w:numFmt w:val="bullet"/>
      <w:lvlText w:val=""/>
      <w:lvlJc w:val="left"/>
      <w:pPr>
        <w:ind w:left="5364" w:hanging="360"/>
      </w:pPr>
      <w:rPr>
        <w:rFonts w:ascii="Wingdings" w:hAnsi="Wingdings" w:hint="default"/>
      </w:rPr>
    </w:lvl>
    <w:lvl w:ilvl="6" w:tplc="08130001" w:tentative="1">
      <w:start w:val="1"/>
      <w:numFmt w:val="bullet"/>
      <w:lvlText w:val=""/>
      <w:lvlJc w:val="left"/>
      <w:pPr>
        <w:ind w:left="6084" w:hanging="360"/>
      </w:pPr>
      <w:rPr>
        <w:rFonts w:ascii="Symbol" w:hAnsi="Symbol" w:hint="default"/>
      </w:rPr>
    </w:lvl>
    <w:lvl w:ilvl="7" w:tplc="08130003" w:tentative="1">
      <w:start w:val="1"/>
      <w:numFmt w:val="bullet"/>
      <w:lvlText w:val="o"/>
      <w:lvlJc w:val="left"/>
      <w:pPr>
        <w:ind w:left="6804" w:hanging="360"/>
      </w:pPr>
      <w:rPr>
        <w:rFonts w:ascii="Courier New" w:hAnsi="Courier New" w:cs="Courier New" w:hint="default"/>
      </w:rPr>
    </w:lvl>
    <w:lvl w:ilvl="8" w:tplc="08130005" w:tentative="1">
      <w:start w:val="1"/>
      <w:numFmt w:val="bullet"/>
      <w:lvlText w:val=""/>
      <w:lvlJc w:val="left"/>
      <w:pPr>
        <w:ind w:left="7524" w:hanging="360"/>
      </w:pPr>
      <w:rPr>
        <w:rFonts w:ascii="Wingdings" w:hAnsi="Wingdings" w:hint="default"/>
      </w:rPr>
    </w:lvl>
  </w:abstractNum>
  <w:abstractNum w:abstractNumId="7" w15:restartNumberingAfterBreak="0">
    <w:nsid w:val="0EC8459B"/>
    <w:multiLevelType w:val="multilevel"/>
    <w:tmpl w:val="415E0F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FC53441"/>
    <w:multiLevelType w:val="multilevel"/>
    <w:tmpl w:val="A6E67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506503"/>
    <w:multiLevelType w:val="hybridMultilevel"/>
    <w:tmpl w:val="F0104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61306CD"/>
    <w:multiLevelType w:val="hybridMultilevel"/>
    <w:tmpl w:val="980A6324"/>
    <w:lvl w:ilvl="0" w:tplc="C32014D6">
      <w:start w:val="27"/>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C36019A"/>
    <w:multiLevelType w:val="multilevel"/>
    <w:tmpl w:val="4B68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EC4BCD"/>
    <w:multiLevelType w:val="hybridMultilevel"/>
    <w:tmpl w:val="8D626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325BF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8271D7"/>
    <w:multiLevelType w:val="hybridMultilevel"/>
    <w:tmpl w:val="C0865CB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2536FF76">
      <w:numFmt w:val="bullet"/>
      <w:lvlText w:val="-"/>
      <w:lvlJc w:val="left"/>
      <w:pPr>
        <w:ind w:left="1800" w:hanging="360"/>
      </w:pPr>
      <w:rPr>
        <w:rFonts w:ascii="Calibri" w:eastAsiaTheme="minorHAnsi" w:hAnsi="Calibri" w:cs="Calibr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51F5E04"/>
    <w:multiLevelType w:val="hybridMultilevel"/>
    <w:tmpl w:val="0C2A1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F3CCC"/>
    <w:multiLevelType w:val="hybridMultilevel"/>
    <w:tmpl w:val="2DE40F38"/>
    <w:lvl w:ilvl="0" w:tplc="4B5EE29E">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8450B81"/>
    <w:multiLevelType w:val="hybridMultilevel"/>
    <w:tmpl w:val="2EC0C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E5B0FE1"/>
    <w:multiLevelType w:val="multilevel"/>
    <w:tmpl w:val="B2BA3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5C4872"/>
    <w:multiLevelType w:val="hybridMultilevel"/>
    <w:tmpl w:val="038C5F0A"/>
    <w:lvl w:ilvl="0" w:tplc="5204DB12">
      <w:start w:val="4"/>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001D42"/>
    <w:multiLevelType w:val="multilevel"/>
    <w:tmpl w:val="3EE8B394"/>
    <w:lvl w:ilvl="0">
      <w:start w:val="3"/>
      <w:numFmt w:val="decimal"/>
      <w:lvlText w:val="%1."/>
      <w:lvlJc w:val="left"/>
      <w:pPr>
        <w:tabs>
          <w:tab w:val="num" w:pos="720"/>
        </w:tabs>
        <w:ind w:left="720" w:hanging="360"/>
      </w:pPr>
    </w:lvl>
    <w:lvl w:ilvl="1">
      <w:numFmt w:val="bullet"/>
      <w:lvlText w:val="-"/>
      <w:lvlJc w:val="left"/>
      <w:pPr>
        <w:ind w:left="1440" w:hanging="360"/>
      </w:pPr>
      <w:rPr>
        <w:rFonts w:ascii="FlandersArtSans-Regular" w:eastAsia="Times New Roman" w:hAnsi="FlandersArtSans-Regular"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401DF3"/>
    <w:multiLevelType w:val="hybridMultilevel"/>
    <w:tmpl w:val="349224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A75E0F"/>
    <w:multiLevelType w:val="hybridMultilevel"/>
    <w:tmpl w:val="4AC03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D60BDA"/>
    <w:multiLevelType w:val="multilevel"/>
    <w:tmpl w:val="A50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57E9F"/>
    <w:multiLevelType w:val="multilevel"/>
    <w:tmpl w:val="BA784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C2AD1"/>
    <w:multiLevelType w:val="multilevel"/>
    <w:tmpl w:val="8D72F532"/>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90F05"/>
    <w:multiLevelType w:val="hybridMultilevel"/>
    <w:tmpl w:val="0D7EDBDE"/>
    <w:lvl w:ilvl="0" w:tplc="5EC8B530">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356E03"/>
    <w:multiLevelType w:val="multilevel"/>
    <w:tmpl w:val="5110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D238BB"/>
    <w:multiLevelType w:val="multilevel"/>
    <w:tmpl w:val="14682E62"/>
    <w:lvl w:ilvl="0">
      <w:start w:val="1"/>
      <w:numFmt w:val="bullet"/>
      <w:lvlText w:val="•"/>
      <w:lvlJc w:val="left"/>
      <w:pPr>
        <w:ind w:left="1068" w:hanging="360"/>
      </w:pPr>
      <w:rPr>
        <w:rFonts w:ascii="Calibri" w:eastAsia="Calibri" w:hAnsi="Calibri" w:cs="Calibri"/>
      </w:rPr>
    </w:lvl>
    <w:lvl w:ilvl="1">
      <w:start w:val="110"/>
      <w:numFmt w:val="bullet"/>
      <w:lvlText w:val="•"/>
      <w:lvlJc w:val="left"/>
      <w:pPr>
        <w:ind w:left="1788" w:hanging="360"/>
      </w:pPr>
      <w:rPr>
        <w:rFonts w:ascii="Calibri" w:eastAsia="Calibri" w:hAnsi="Calibri" w:cs="Calibri"/>
      </w:rPr>
    </w:lvl>
    <w:lvl w:ilvl="2">
      <w:start w:val="110"/>
      <w:numFmt w:val="bullet"/>
      <w:lvlText w:val="•"/>
      <w:lvlJc w:val="left"/>
      <w:pPr>
        <w:ind w:left="2508" w:hanging="360"/>
      </w:pPr>
      <w:rPr>
        <w:rFonts w:ascii="Calibri" w:eastAsia="Calibri" w:hAnsi="Calibri" w:cs="Calibri"/>
      </w:rPr>
    </w:lvl>
    <w:lvl w:ilvl="3">
      <w:start w:val="1"/>
      <w:numFmt w:val="bullet"/>
      <w:lvlText w:val="•"/>
      <w:lvlJc w:val="left"/>
      <w:pPr>
        <w:ind w:left="3228" w:hanging="360"/>
      </w:pPr>
      <w:rPr>
        <w:rFonts w:ascii="Calibri" w:eastAsia="Calibri" w:hAnsi="Calibri" w:cs="Calibri"/>
      </w:rPr>
    </w:lvl>
    <w:lvl w:ilvl="4">
      <w:start w:val="1"/>
      <w:numFmt w:val="bullet"/>
      <w:lvlText w:val="•"/>
      <w:lvlJc w:val="left"/>
      <w:pPr>
        <w:ind w:left="3948" w:hanging="360"/>
      </w:pPr>
      <w:rPr>
        <w:rFonts w:ascii="Calibri" w:eastAsia="Calibri" w:hAnsi="Calibri" w:cs="Calibri"/>
      </w:rPr>
    </w:lvl>
    <w:lvl w:ilvl="5">
      <w:start w:val="1"/>
      <w:numFmt w:val="bullet"/>
      <w:lvlText w:val="•"/>
      <w:lvlJc w:val="left"/>
      <w:pPr>
        <w:ind w:left="4668" w:hanging="360"/>
      </w:pPr>
      <w:rPr>
        <w:rFonts w:ascii="Calibri" w:eastAsia="Calibri" w:hAnsi="Calibri" w:cs="Calibri"/>
      </w:rPr>
    </w:lvl>
    <w:lvl w:ilvl="6">
      <w:start w:val="1"/>
      <w:numFmt w:val="bullet"/>
      <w:lvlText w:val="•"/>
      <w:lvlJc w:val="left"/>
      <w:pPr>
        <w:ind w:left="5388" w:hanging="360"/>
      </w:pPr>
      <w:rPr>
        <w:rFonts w:ascii="Calibri" w:eastAsia="Calibri" w:hAnsi="Calibri" w:cs="Calibri"/>
      </w:rPr>
    </w:lvl>
    <w:lvl w:ilvl="7">
      <w:start w:val="1"/>
      <w:numFmt w:val="bullet"/>
      <w:lvlText w:val="•"/>
      <w:lvlJc w:val="left"/>
      <w:pPr>
        <w:ind w:left="6108" w:hanging="360"/>
      </w:pPr>
      <w:rPr>
        <w:rFonts w:ascii="Calibri" w:eastAsia="Calibri" w:hAnsi="Calibri" w:cs="Calibri"/>
      </w:rPr>
    </w:lvl>
    <w:lvl w:ilvl="8">
      <w:start w:val="1"/>
      <w:numFmt w:val="bullet"/>
      <w:lvlText w:val="•"/>
      <w:lvlJc w:val="left"/>
      <w:pPr>
        <w:ind w:left="6828" w:hanging="360"/>
      </w:pPr>
      <w:rPr>
        <w:rFonts w:ascii="Calibri" w:eastAsia="Calibri" w:hAnsi="Calibri" w:cs="Calibri"/>
      </w:rPr>
    </w:lvl>
  </w:abstractNum>
  <w:abstractNum w:abstractNumId="29" w15:restartNumberingAfterBreak="0">
    <w:nsid w:val="5A8B4547"/>
    <w:multiLevelType w:val="hybridMultilevel"/>
    <w:tmpl w:val="DF36D7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5C271544"/>
    <w:multiLevelType w:val="multilevel"/>
    <w:tmpl w:val="F5D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FF5D6E"/>
    <w:multiLevelType w:val="hybridMultilevel"/>
    <w:tmpl w:val="2E76C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50538B"/>
    <w:multiLevelType w:val="hybridMultilevel"/>
    <w:tmpl w:val="61961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320AC2"/>
    <w:multiLevelType w:val="hybridMultilevel"/>
    <w:tmpl w:val="6A38632C"/>
    <w:lvl w:ilvl="0" w:tplc="8BCA4960">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0111C6C"/>
    <w:multiLevelType w:val="multilevel"/>
    <w:tmpl w:val="2A6A8F9C"/>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35" w15:restartNumberingAfterBreak="0">
    <w:nsid w:val="7ADB7430"/>
    <w:multiLevelType w:val="hybridMultilevel"/>
    <w:tmpl w:val="6B449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4"/>
  </w:num>
  <w:num w:numId="4">
    <w:abstractNumId w:val="23"/>
  </w:num>
  <w:num w:numId="5">
    <w:abstractNumId w:val="27"/>
  </w:num>
  <w:num w:numId="6">
    <w:abstractNumId w:val="3"/>
  </w:num>
  <w:num w:numId="7">
    <w:abstractNumId w:val="24"/>
  </w:num>
  <w:num w:numId="8">
    <w:abstractNumId w:val="20"/>
  </w:num>
  <w:num w:numId="9">
    <w:abstractNumId w:val="0"/>
  </w:num>
  <w:num w:numId="10">
    <w:abstractNumId w:val="29"/>
  </w:num>
  <w:num w:numId="11">
    <w:abstractNumId w:val="6"/>
  </w:num>
  <w:num w:numId="12">
    <w:abstractNumId w:val="25"/>
  </w:num>
  <w:num w:numId="13">
    <w:abstractNumId w:val="2"/>
  </w:num>
  <w:num w:numId="14">
    <w:abstractNumId w:val="13"/>
  </w:num>
  <w:num w:numId="15">
    <w:abstractNumId w:val="21"/>
  </w:num>
  <w:num w:numId="16">
    <w:abstractNumId w:val="14"/>
  </w:num>
  <w:num w:numId="17">
    <w:abstractNumId w:val="1"/>
  </w:num>
  <w:num w:numId="18">
    <w:abstractNumId w:val="16"/>
  </w:num>
  <w:num w:numId="19">
    <w:abstractNumId w:val="17"/>
  </w:num>
  <w:num w:numId="20">
    <w:abstractNumId w:val="12"/>
  </w:num>
  <w:num w:numId="21">
    <w:abstractNumId w:val="8"/>
  </w:num>
  <w:num w:numId="22">
    <w:abstractNumId w:val="28"/>
  </w:num>
  <w:num w:numId="23">
    <w:abstractNumId w:val="11"/>
  </w:num>
  <w:num w:numId="24">
    <w:abstractNumId w:val="7"/>
  </w:num>
  <w:num w:numId="25">
    <w:abstractNumId w:val="22"/>
  </w:num>
  <w:num w:numId="26">
    <w:abstractNumId w:val="15"/>
  </w:num>
  <w:num w:numId="27">
    <w:abstractNumId w:val="9"/>
  </w:num>
  <w:num w:numId="28">
    <w:abstractNumId w:val="35"/>
  </w:num>
  <w:num w:numId="29">
    <w:abstractNumId w:val="18"/>
  </w:num>
  <w:num w:numId="30">
    <w:abstractNumId w:val="31"/>
  </w:num>
  <w:num w:numId="31">
    <w:abstractNumId w:val="10"/>
  </w:num>
  <w:num w:numId="32">
    <w:abstractNumId w:val="32"/>
  </w:num>
  <w:num w:numId="33">
    <w:abstractNumId w:val="4"/>
  </w:num>
  <w:num w:numId="34">
    <w:abstractNumId w:val="33"/>
  </w:num>
  <w:num w:numId="35">
    <w:abstractNumId w:val="19"/>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15"/>
    <w:rsid w:val="0000057A"/>
    <w:rsid w:val="00001582"/>
    <w:rsid w:val="000076E1"/>
    <w:rsid w:val="00007FCB"/>
    <w:rsid w:val="00010D6D"/>
    <w:rsid w:val="000137EE"/>
    <w:rsid w:val="000173C7"/>
    <w:rsid w:val="00023182"/>
    <w:rsid w:val="00023F3F"/>
    <w:rsid w:val="00027242"/>
    <w:rsid w:val="00027F57"/>
    <w:rsid w:val="00032316"/>
    <w:rsid w:val="000351C4"/>
    <w:rsid w:val="00045E9C"/>
    <w:rsid w:val="0004764C"/>
    <w:rsid w:val="00051C96"/>
    <w:rsid w:val="000613B7"/>
    <w:rsid w:val="00076434"/>
    <w:rsid w:val="000851C6"/>
    <w:rsid w:val="00087B02"/>
    <w:rsid w:val="00094A0A"/>
    <w:rsid w:val="00095A54"/>
    <w:rsid w:val="000A39B0"/>
    <w:rsid w:val="000A6303"/>
    <w:rsid w:val="000A6EA8"/>
    <w:rsid w:val="000B426E"/>
    <w:rsid w:val="000B494F"/>
    <w:rsid w:val="000B6315"/>
    <w:rsid w:val="000B7C6A"/>
    <w:rsid w:val="000C550F"/>
    <w:rsid w:val="000D5F37"/>
    <w:rsid w:val="000E0708"/>
    <w:rsid w:val="0010389A"/>
    <w:rsid w:val="00104316"/>
    <w:rsid w:val="00107D9C"/>
    <w:rsid w:val="00112D71"/>
    <w:rsid w:val="0011527C"/>
    <w:rsid w:val="0012072B"/>
    <w:rsid w:val="0012201E"/>
    <w:rsid w:val="00126086"/>
    <w:rsid w:val="00134BAC"/>
    <w:rsid w:val="00136253"/>
    <w:rsid w:val="00141F09"/>
    <w:rsid w:val="001420EB"/>
    <w:rsid w:val="001476AB"/>
    <w:rsid w:val="00152512"/>
    <w:rsid w:val="00155796"/>
    <w:rsid w:val="00165C9E"/>
    <w:rsid w:val="00170D11"/>
    <w:rsid w:val="00174F46"/>
    <w:rsid w:val="00180B4F"/>
    <w:rsid w:val="00180F0B"/>
    <w:rsid w:val="001A0770"/>
    <w:rsid w:val="001A0785"/>
    <w:rsid w:val="001A11DA"/>
    <w:rsid w:val="001B12AC"/>
    <w:rsid w:val="001B2C9C"/>
    <w:rsid w:val="001B3055"/>
    <w:rsid w:val="001C121C"/>
    <w:rsid w:val="001C1EBD"/>
    <w:rsid w:val="001C36AE"/>
    <w:rsid w:val="001C5739"/>
    <w:rsid w:val="001D0482"/>
    <w:rsid w:val="001D17C2"/>
    <w:rsid w:val="001E0FC9"/>
    <w:rsid w:val="00215CD2"/>
    <w:rsid w:val="00222B78"/>
    <w:rsid w:val="0022378B"/>
    <w:rsid w:val="00224993"/>
    <w:rsid w:val="00233E6B"/>
    <w:rsid w:val="0024750B"/>
    <w:rsid w:val="00262D2B"/>
    <w:rsid w:val="00264225"/>
    <w:rsid w:val="002768F7"/>
    <w:rsid w:val="002948C6"/>
    <w:rsid w:val="002A6670"/>
    <w:rsid w:val="002A7A57"/>
    <w:rsid w:val="002B32A4"/>
    <w:rsid w:val="002D2AF9"/>
    <w:rsid w:val="002E4D13"/>
    <w:rsid w:val="002E7635"/>
    <w:rsid w:val="002F2D26"/>
    <w:rsid w:val="002F3A70"/>
    <w:rsid w:val="00302D7E"/>
    <w:rsid w:val="00303BE4"/>
    <w:rsid w:val="003045A3"/>
    <w:rsid w:val="003064E2"/>
    <w:rsid w:val="00307875"/>
    <w:rsid w:val="0032786A"/>
    <w:rsid w:val="00327CCA"/>
    <w:rsid w:val="00332675"/>
    <w:rsid w:val="00333910"/>
    <w:rsid w:val="003339B1"/>
    <w:rsid w:val="003373D4"/>
    <w:rsid w:val="003439CA"/>
    <w:rsid w:val="00346570"/>
    <w:rsid w:val="003476D2"/>
    <w:rsid w:val="00360AEF"/>
    <w:rsid w:val="00361D39"/>
    <w:rsid w:val="00363C6D"/>
    <w:rsid w:val="003730BF"/>
    <w:rsid w:val="00373AB2"/>
    <w:rsid w:val="00380A6F"/>
    <w:rsid w:val="003834F4"/>
    <w:rsid w:val="00386284"/>
    <w:rsid w:val="00387FD0"/>
    <w:rsid w:val="003A4FDC"/>
    <w:rsid w:val="003C1485"/>
    <w:rsid w:val="003D2B64"/>
    <w:rsid w:val="003E1649"/>
    <w:rsid w:val="003E179F"/>
    <w:rsid w:val="003E7BC8"/>
    <w:rsid w:val="003F1442"/>
    <w:rsid w:val="003F42A8"/>
    <w:rsid w:val="004028F8"/>
    <w:rsid w:val="00404A5F"/>
    <w:rsid w:val="0040516F"/>
    <w:rsid w:val="0040764F"/>
    <w:rsid w:val="0041441A"/>
    <w:rsid w:val="004209D1"/>
    <w:rsid w:val="00423FE1"/>
    <w:rsid w:val="00425D4B"/>
    <w:rsid w:val="00427646"/>
    <w:rsid w:val="00430E91"/>
    <w:rsid w:val="00430EBB"/>
    <w:rsid w:val="00432CEE"/>
    <w:rsid w:val="00434EC0"/>
    <w:rsid w:val="00464CC5"/>
    <w:rsid w:val="00473C4D"/>
    <w:rsid w:val="00475F50"/>
    <w:rsid w:val="00480112"/>
    <w:rsid w:val="00484DDF"/>
    <w:rsid w:val="00487C01"/>
    <w:rsid w:val="00490F9E"/>
    <w:rsid w:val="00497D85"/>
    <w:rsid w:val="004A2593"/>
    <w:rsid w:val="004A45B6"/>
    <w:rsid w:val="004B0B11"/>
    <w:rsid w:val="004B0B22"/>
    <w:rsid w:val="004B3B9D"/>
    <w:rsid w:val="004B7810"/>
    <w:rsid w:val="004B78A2"/>
    <w:rsid w:val="004C0C1E"/>
    <w:rsid w:val="004E1EC5"/>
    <w:rsid w:val="004E2E5D"/>
    <w:rsid w:val="004F11A6"/>
    <w:rsid w:val="004F2D9F"/>
    <w:rsid w:val="004F6505"/>
    <w:rsid w:val="004F66F7"/>
    <w:rsid w:val="004F7095"/>
    <w:rsid w:val="004F7444"/>
    <w:rsid w:val="004F74F6"/>
    <w:rsid w:val="004F753C"/>
    <w:rsid w:val="00501BEB"/>
    <w:rsid w:val="00506277"/>
    <w:rsid w:val="005263AE"/>
    <w:rsid w:val="005279E3"/>
    <w:rsid w:val="00530949"/>
    <w:rsid w:val="00534255"/>
    <w:rsid w:val="00535A12"/>
    <w:rsid w:val="00536519"/>
    <w:rsid w:val="00544461"/>
    <w:rsid w:val="00552FF1"/>
    <w:rsid w:val="00580F2C"/>
    <w:rsid w:val="0058261C"/>
    <w:rsid w:val="00582E85"/>
    <w:rsid w:val="005834CF"/>
    <w:rsid w:val="005875D0"/>
    <w:rsid w:val="00587DF1"/>
    <w:rsid w:val="00590A90"/>
    <w:rsid w:val="00592B84"/>
    <w:rsid w:val="00595751"/>
    <w:rsid w:val="005A02B9"/>
    <w:rsid w:val="005A4AE9"/>
    <w:rsid w:val="005B0580"/>
    <w:rsid w:val="005B17CF"/>
    <w:rsid w:val="005B2967"/>
    <w:rsid w:val="005B781D"/>
    <w:rsid w:val="005C0E15"/>
    <w:rsid w:val="005C1751"/>
    <w:rsid w:val="005C17AD"/>
    <w:rsid w:val="005C18C5"/>
    <w:rsid w:val="005C1DAB"/>
    <w:rsid w:val="005C2835"/>
    <w:rsid w:val="005C6E4E"/>
    <w:rsid w:val="005D03C7"/>
    <w:rsid w:val="005D0C09"/>
    <w:rsid w:val="005D2D6F"/>
    <w:rsid w:val="005D3128"/>
    <w:rsid w:val="005D4F22"/>
    <w:rsid w:val="005D711B"/>
    <w:rsid w:val="005F0063"/>
    <w:rsid w:val="005F1C6D"/>
    <w:rsid w:val="005F7CFB"/>
    <w:rsid w:val="00601ED8"/>
    <w:rsid w:val="00604BF9"/>
    <w:rsid w:val="00611950"/>
    <w:rsid w:val="006130B7"/>
    <w:rsid w:val="00614978"/>
    <w:rsid w:val="00621026"/>
    <w:rsid w:val="00625406"/>
    <w:rsid w:val="006308AE"/>
    <w:rsid w:val="00631575"/>
    <w:rsid w:val="00635133"/>
    <w:rsid w:val="00635F26"/>
    <w:rsid w:val="00636DA9"/>
    <w:rsid w:val="00637186"/>
    <w:rsid w:val="0064321E"/>
    <w:rsid w:val="00654394"/>
    <w:rsid w:val="0066435B"/>
    <w:rsid w:val="006651AC"/>
    <w:rsid w:val="006A4667"/>
    <w:rsid w:val="006B2535"/>
    <w:rsid w:val="006C153E"/>
    <w:rsid w:val="006C36C4"/>
    <w:rsid w:val="006E0D20"/>
    <w:rsid w:val="006E5D5A"/>
    <w:rsid w:val="006F7604"/>
    <w:rsid w:val="007063F9"/>
    <w:rsid w:val="00711A4B"/>
    <w:rsid w:val="00711F36"/>
    <w:rsid w:val="00714629"/>
    <w:rsid w:val="00731098"/>
    <w:rsid w:val="007321C1"/>
    <w:rsid w:val="00733F46"/>
    <w:rsid w:val="0073743D"/>
    <w:rsid w:val="0074520F"/>
    <w:rsid w:val="00754475"/>
    <w:rsid w:val="00754E8C"/>
    <w:rsid w:val="00756AA2"/>
    <w:rsid w:val="00760BC3"/>
    <w:rsid w:val="00770547"/>
    <w:rsid w:val="00782C75"/>
    <w:rsid w:val="00785B19"/>
    <w:rsid w:val="00787A6E"/>
    <w:rsid w:val="007A151B"/>
    <w:rsid w:val="007A37E4"/>
    <w:rsid w:val="007A7264"/>
    <w:rsid w:val="007B5330"/>
    <w:rsid w:val="007C3686"/>
    <w:rsid w:val="007C4FFD"/>
    <w:rsid w:val="007C6713"/>
    <w:rsid w:val="007D046A"/>
    <w:rsid w:val="007D6BC7"/>
    <w:rsid w:val="007F40A0"/>
    <w:rsid w:val="007F65FC"/>
    <w:rsid w:val="007F7632"/>
    <w:rsid w:val="00800380"/>
    <w:rsid w:val="00801064"/>
    <w:rsid w:val="00812325"/>
    <w:rsid w:val="00821D66"/>
    <w:rsid w:val="00836D34"/>
    <w:rsid w:val="0083750C"/>
    <w:rsid w:val="00842FAF"/>
    <w:rsid w:val="00843083"/>
    <w:rsid w:val="00846D93"/>
    <w:rsid w:val="00846FE6"/>
    <w:rsid w:val="00850542"/>
    <w:rsid w:val="0085106B"/>
    <w:rsid w:val="0085390F"/>
    <w:rsid w:val="00856C5C"/>
    <w:rsid w:val="00857F08"/>
    <w:rsid w:val="00863AB2"/>
    <w:rsid w:val="00867870"/>
    <w:rsid w:val="008717DF"/>
    <w:rsid w:val="00874DF3"/>
    <w:rsid w:val="00886FE1"/>
    <w:rsid w:val="0089286A"/>
    <w:rsid w:val="008A279F"/>
    <w:rsid w:val="008A3047"/>
    <w:rsid w:val="008A4236"/>
    <w:rsid w:val="008B2658"/>
    <w:rsid w:val="008B3B4A"/>
    <w:rsid w:val="008B7268"/>
    <w:rsid w:val="008D1CA5"/>
    <w:rsid w:val="008D2ADC"/>
    <w:rsid w:val="008E2DAF"/>
    <w:rsid w:val="00904DC8"/>
    <w:rsid w:val="00906992"/>
    <w:rsid w:val="00910410"/>
    <w:rsid w:val="00915C92"/>
    <w:rsid w:val="009247BB"/>
    <w:rsid w:val="0092495C"/>
    <w:rsid w:val="00930C14"/>
    <w:rsid w:val="009310E9"/>
    <w:rsid w:val="00935A5A"/>
    <w:rsid w:val="0094013C"/>
    <w:rsid w:val="0094553A"/>
    <w:rsid w:val="00955DCF"/>
    <w:rsid w:val="00970361"/>
    <w:rsid w:val="00973B59"/>
    <w:rsid w:val="00976252"/>
    <w:rsid w:val="00982946"/>
    <w:rsid w:val="00984CD6"/>
    <w:rsid w:val="0098512E"/>
    <w:rsid w:val="00993004"/>
    <w:rsid w:val="00995D59"/>
    <w:rsid w:val="009A201F"/>
    <w:rsid w:val="009A40D4"/>
    <w:rsid w:val="009B0202"/>
    <w:rsid w:val="009B4AFF"/>
    <w:rsid w:val="009B6BD6"/>
    <w:rsid w:val="009B6D00"/>
    <w:rsid w:val="009C03E0"/>
    <w:rsid w:val="009C7B13"/>
    <w:rsid w:val="009C7B7D"/>
    <w:rsid w:val="009E3AF9"/>
    <w:rsid w:val="009F2D63"/>
    <w:rsid w:val="009F6A6C"/>
    <w:rsid w:val="00A00162"/>
    <w:rsid w:val="00A04D34"/>
    <w:rsid w:val="00A07EC1"/>
    <w:rsid w:val="00A10F10"/>
    <w:rsid w:val="00A137CD"/>
    <w:rsid w:val="00A17AC8"/>
    <w:rsid w:val="00A232CB"/>
    <w:rsid w:val="00A342B1"/>
    <w:rsid w:val="00A3455E"/>
    <w:rsid w:val="00A4719D"/>
    <w:rsid w:val="00A50769"/>
    <w:rsid w:val="00A51524"/>
    <w:rsid w:val="00A55AF8"/>
    <w:rsid w:val="00A5644E"/>
    <w:rsid w:val="00A614FA"/>
    <w:rsid w:val="00A63416"/>
    <w:rsid w:val="00A66132"/>
    <w:rsid w:val="00A70417"/>
    <w:rsid w:val="00A70B14"/>
    <w:rsid w:val="00A712C8"/>
    <w:rsid w:val="00A73280"/>
    <w:rsid w:val="00A776DB"/>
    <w:rsid w:val="00A7775E"/>
    <w:rsid w:val="00A922A6"/>
    <w:rsid w:val="00A958D1"/>
    <w:rsid w:val="00AA0E06"/>
    <w:rsid w:val="00AA4B01"/>
    <w:rsid w:val="00AB29E4"/>
    <w:rsid w:val="00AC53FC"/>
    <w:rsid w:val="00AD40DE"/>
    <w:rsid w:val="00AD4A9B"/>
    <w:rsid w:val="00AD4C56"/>
    <w:rsid w:val="00AD5325"/>
    <w:rsid w:val="00AD7EA3"/>
    <w:rsid w:val="00AE10CA"/>
    <w:rsid w:val="00AE25A8"/>
    <w:rsid w:val="00AE644A"/>
    <w:rsid w:val="00AE6E3D"/>
    <w:rsid w:val="00AE7EEA"/>
    <w:rsid w:val="00AE7FEC"/>
    <w:rsid w:val="00AF09DE"/>
    <w:rsid w:val="00AF11DD"/>
    <w:rsid w:val="00AF4366"/>
    <w:rsid w:val="00B02392"/>
    <w:rsid w:val="00B16CB3"/>
    <w:rsid w:val="00B2745E"/>
    <w:rsid w:val="00B36BDE"/>
    <w:rsid w:val="00B37F90"/>
    <w:rsid w:val="00B4385B"/>
    <w:rsid w:val="00B445F8"/>
    <w:rsid w:val="00B52289"/>
    <w:rsid w:val="00B56C13"/>
    <w:rsid w:val="00B64CD8"/>
    <w:rsid w:val="00B677E1"/>
    <w:rsid w:val="00B75FF4"/>
    <w:rsid w:val="00B8486D"/>
    <w:rsid w:val="00B84D3D"/>
    <w:rsid w:val="00B92D6A"/>
    <w:rsid w:val="00B96992"/>
    <w:rsid w:val="00B97683"/>
    <w:rsid w:val="00BA124A"/>
    <w:rsid w:val="00BA6804"/>
    <w:rsid w:val="00BA7DC0"/>
    <w:rsid w:val="00BB0266"/>
    <w:rsid w:val="00BB2DC7"/>
    <w:rsid w:val="00BB643D"/>
    <w:rsid w:val="00BC4E8C"/>
    <w:rsid w:val="00BD4F5D"/>
    <w:rsid w:val="00BD7D88"/>
    <w:rsid w:val="00BE0BD3"/>
    <w:rsid w:val="00BE0F80"/>
    <w:rsid w:val="00BE7864"/>
    <w:rsid w:val="00BF438D"/>
    <w:rsid w:val="00BF5154"/>
    <w:rsid w:val="00C06B4F"/>
    <w:rsid w:val="00C07BC1"/>
    <w:rsid w:val="00C12AEC"/>
    <w:rsid w:val="00C16100"/>
    <w:rsid w:val="00C3156D"/>
    <w:rsid w:val="00C34663"/>
    <w:rsid w:val="00C47EAB"/>
    <w:rsid w:val="00C5586F"/>
    <w:rsid w:val="00C61D04"/>
    <w:rsid w:val="00C72192"/>
    <w:rsid w:val="00C75312"/>
    <w:rsid w:val="00C8244D"/>
    <w:rsid w:val="00C934EB"/>
    <w:rsid w:val="00C93A3E"/>
    <w:rsid w:val="00C94A81"/>
    <w:rsid w:val="00C9704F"/>
    <w:rsid w:val="00CA2321"/>
    <w:rsid w:val="00CA38BC"/>
    <w:rsid w:val="00CB21B9"/>
    <w:rsid w:val="00CB42C9"/>
    <w:rsid w:val="00CB7564"/>
    <w:rsid w:val="00CD6251"/>
    <w:rsid w:val="00CE6BA1"/>
    <w:rsid w:val="00CF1A74"/>
    <w:rsid w:val="00CF6868"/>
    <w:rsid w:val="00CF7D5E"/>
    <w:rsid w:val="00D12303"/>
    <w:rsid w:val="00D14C0B"/>
    <w:rsid w:val="00D15688"/>
    <w:rsid w:val="00D20D35"/>
    <w:rsid w:val="00D22BAF"/>
    <w:rsid w:val="00D237C7"/>
    <w:rsid w:val="00D240BF"/>
    <w:rsid w:val="00D255EF"/>
    <w:rsid w:val="00D34675"/>
    <w:rsid w:val="00D44AE1"/>
    <w:rsid w:val="00D4527C"/>
    <w:rsid w:val="00D5457C"/>
    <w:rsid w:val="00D57A77"/>
    <w:rsid w:val="00D6004C"/>
    <w:rsid w:val="00D614B5"/>
    <w:rsid w:val="00D671C5"/>
    <w:rsid w:val="00D6734E"/>
    <w:rsid w:val="00D741E4"/>
    <w:rsid w:val="00D74C9C"/>
    <w:rsid w:val="00D804DD"/>
    <w:rsid w:val="00D82C0A"/>
    <w:rsid w:val="00D86A58"/>
    <w:rsid w:val="00D92FBA"/>
    <w:rsid w:val="00DA1799"/>
    <w:rsid w:val="00DA3FEB"/>
    <w:rsid w:val="00DB0913"/>
    <w:rsid w:val="00DB3612"/>
    <w:rsid w:val="00DB6D38"/>
    <w:rsid w:val="00DB7AE0"/>
    <w:rsid w:val="00DC105F"/>
    <w:rsid w:val="00DC13AE"/>
    <w:rsid w:val="00DD7A0B"/>
    <w:rsid w:val="00DF1EEF"/>
    <w:rsid w:val="00DF4270"/>
    <w:rsid w:val="00E13BD7"/>
    <w:rsid w:val="00E16B8D"/>
    <w:rsid w:val="00E17B02"/>
    <w:rsid w:val="00E21319"/>
    <w:rsid w:val="00E32381"/>
    <w:rsid w:val="00E34BF8"/>
    <w:rsid w:val="00E36188"/>
    <w:rsid w:val="00E37EF0"/>
    <w:rsid w:val="00E40BAF"/>
    <w:rsid w:val="00E52724"/>
    <w:rsid w:val="00E61D33"/>
    <w:rsid w:val="00E6675C"/>
    <w:rsid w:val="00E74018"/>
    <w:rsid w:val="00E80638"/>
    <w:rsid w:val="00E827D6"/>
    <w:rsid w:val="00E82C25"/>
    <w:rsid w:val="00E86021"/>
    <w:rsid w:val="00EA56B4"/>
    <w:rsid w:val="00EB66FF"/>
    <w:rsid w:val="00EB6970"/>
    <w:rsid w:val="00EB70EB"/>
    <w:rsid w:val="00ED1419"/>
    <w:rsid w:val="00ED51B5"/>
    <w:rsid w:val="00EE7362"/>
    <w:rsid w:val="00EF3F59"/>
    <w:rsid w:val="00EF3F89"/>
    <w:rsid w:val="00EF6454"/>
    <w:rsid w:val="00F134B8"/>
    <w:rsid w:val="00F17E59"/>
    <w:rsid w:val="00F37207"/>
    <w:rsid w:val="00F413B6"/>
    <w:rsid w:val="00F535A3"/>
    <w:rsid w:val="00F63A6F"/>
    <w:rsid w:val="00F663B8"/>
    <w:rsid w:val="00F74CFD"/>
    <w:rsid w:val="00F76BA9"/>
    <w:rsid w:val="00F76F20"/>
    <w:rsid w:val="00F80101"/>
    <w:rsid w:val="00F822B7"/>
    <w:rsid w:val="00F82A82"/>
    <w:rsid w:val="00F87B64"/>
    <w:rsid w:val="00F953F5"/>
    <w:rsid w:val="00FA199F"/>
    <w:rsid w:val="00FA2820"/>
    <w:rsid w:val="00FC31B2"/>
    <w:rsid w:val="00FD02F6"/>
    <w:rsid w:val="00FD2790"/>
    <w:rsid w:val="00FD537C"/>
    <w:rsid w:val="00FD61EC"/>
    <w:rsid w:val="00FD65C5"/>
    <w:rsid w:val="00FD6EF3"/>
    <w:rsid w:val="00FE4B9F"/>
    <w:rsid w:val="00FF4A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40C3"/>
  <w15:chartTrackingRefBased/>
  <w15:docId w15:val="{49945076-FAE9-4F5E-80A2-F06E0E2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3B4A"/>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B0B11"/>
    <w:pPr>
      <w:keepNext/>
      <w:keepLines/>
      <w:numPr>
        <w:numId w:val="34"/>
      </w:numPr>
      <w:spacing w:before="160" w:after="120"/>
      <w:outlineLvl w:val="1"/>
    </w:pPr>
    <w:rPr>
      <w:rFonts w:asciiTheme="majorHAnsi" w:eastAsiaTheme="majorEastAsia" w:hAnsiTheme="majorHAnsi" w:cstheme="majorBidi"/>
      <w:b/>
      <w:color w:val="2F5496" w:themeColor="accent1" w:themeShade="BF"/>
      <w:sz w:val="28"/>
      <w:szCs w:val="26"/>
    </w:rPr>
  </w:style>
  <w:style w:type="paragraph" w:styleId="Kop3">
    <w:name w:val="heading 3"/>
    <w:basedOn w:val="Standaard"/>
    <w:next w:val="Standaard"/>
    <w:link w:val="Kop3Char"/>
    <w:uiPriority w:val="9"/>
    <w:unhideWhenUsed/>
    <w:qFormat/>
    <w:rsid w:val="00BD4F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62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6284"/>
    <w:rPr>
      <w:rFonts w:ascii="Segoe UI" w:hAnsi="Segoe UI" w:cs="Segoe UI"/>
      <w:sz w:val="18"/>
      <w:szCs w:val="18"/>
    </w:rPr>
  </w:style>
  <w:style w:type="paragraph" w:styleId="Lijstalinea">
    <w:name w:val="List Paragraph"/>
    <w:aliases w:val="Bulleted Lijst,List Paragraph"/>
    <w:basedOn w:val="Standaard"/>
    <w:link w:val="LijstalineaChar"/>
    <w:uiPriority w:val="34"/>
    <w:qFormat/>
    <w:rsid w:val="00AF4366"/>
    <w:pPr>
      <w:ind w:left="720"/>
      <w:contextualSpacing/>
    </w:pPr>
  </w:style>
  <w:style w:type="character" w:styleId="Verwijzingopmerking">
    <w:name w:val="annotation reference"/>
    <w:basedOn w:val="Standaardalinea-lettertype"/>
    <w:uiPriority w:val="99"/>
    <w:semiHidden/>
    <w:unhideWhenUsed/>
    <w:rsid w:val="004B0B22"/>
    <w:rPr>
      <w:sz w:val="16"/>
      <w:szCs w:val="16"/>
    </w:rPr>
  </w:style>
  <w:style w:type="paragraph" w:styleId="Tekstopmerking">
    <w:name w:val="annotation text"/>
    <w:basedOn w:val="Standaard"/>
    <w:link w:val="TekstopmerkingChar"/>
    <w:uiPriority w:val="99"/>
    <w:semiHidden/>
    <w:unhideWhenUsed/>
    <w:rsid w:val="004B0B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0B22"/>
    <w:rPr>
      <w:sz w:val="20"/>
      <w:szCs w:val="20"/>
    </w:rPr>
  </w:style>
  <w:style w:type="paragraph" w:styleId="Onderwerpvanopmerking">
    <w:name w:val="annotation subject"/>
    <w:basedOn w:val="Tekstopmerking"/>
    <w:next w:val="Tekstopmerking"/>
    <w:link w:val="OnderwerpvanopmerkingChar"/>
    <w:uiPriority w:val="99"/>
    <w:semiHidden/>
    <w:unhideWhenUsed/>
    <w:rsid w:val="004B0B22"/>
    <w:rPr>
      <w:b/>
      <w:bCs/>
    </w:rPr>
  </w:style>
  <w:style w:type="character" w:customStyle="1" w:styleId="OnderwerpvanopmerkingChar">
    <w:name w:val="Onderwerp van opmerking Char"/>
    <w:basedOn w:val="TekstopmerkingChar"/>
    <w:link w:val="Onderwerpvanopmerking"/>
    <w:uiPriority w:val="99"/>
    <w:semiHidden/>
    <w:rsid w:val="004B0B22"/>
    <w:rPr>
      <w:b/>
      <w:bCs/>
      <w:sz w:val="20"/>
      <w:szCs w:val="20"/>
    </w:rPr>
  </w:style>
  <w:style w:type="character" w:styleId="Hyperlink">
    <w:name w:val="Hyperlink"/>
    <w:basedOn w:val="Standaardalinea-lettertype"/>
    <w:uiPriority w:val="99"/>
    <w:unhideWhenUsed/>
    <w:rsid w:val="0094013C"/>
    <w:rPr>
      <w:color w:val="0563C1" w:themeColor="hyperlink"/>
      <w:u w:val="single"/>
    </w:rPr>
  </w:style>
  <w:style w:type="character" w:styleId="Onopgelostemelding">
    <w:name w:val="Unresolved Mention"/>
    <w:basedOn w:val="Standaardalinea-lettertype"/>
    <w:uiPriority w:val="99"/>
    <w:semiHidden/>
    <w:unhideWhenUsed/>
    <w:rsid w:val="0094013C"/>
    <w:rPr>
      <w:color w:val="605E5C"/>
      <w:shd w:val="clear" w:color="auto" w:fill="E1DFDD"/>
    </w:rPr>
  </w:style>
  <w:style w:type="character" w:styleId="GevolgdeHyperlink">
    <w:name w:val="FollowedHyperlink"/>
    <w:basedOn w:val="Standaardalinea-lettertype"/>
    <w:uiPriority w:val="99"/>
    <w:semiHidden/>
    <w:unhideWhenUsed/>
    <w:rsid w:val="007A7264"/>
    <w:rPr>
      <w:color w:val="954F72" w:themeColor="followedHyperlink"/>
      <w:u w:val="single"/>
    </w:rPr>
  </w:style>
  <w:style w:type="character" w:customStyle="1" w:styleId="Kop1Char">
    <w:name w:val="Kop 1 Char"/>
    <w:basedOn w:val="Standaardalinea-lettertype"/>
    <w:link w:val="Kop1"/>
    <w:uiPriority w:val="9"/>
    <w:rsid w:val="005A4AE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B0B11"/>
    <w:rPr>
      <w:rFonts w:asciiTheme="majorHAnsi" w:eastAsiaTheme="majorEastAsia" w:hAnsiTheme="majorHAnsi" w:cstheme="majorBidi"/>
      <w:b/>
      <w:color w:val="2F5496" w:themeColor="accent1" w:themeShade="BF"/>
      <w:sz w:val="28"/>
      <w:szCs w:val="26"/>
    </w:rPr>
  </w:style>
  <w:style w:type="character" w:customStyle="1" w:styleId="LijstalineaChar">
    <w:name w:val="Lijstalinea Char"/>
    <w:aliases w:val="Bulleted Lijst Char,List Paragraph Char"/>
    <w:link w:val="Lijstalinea"/>
    <w:uiPriority w:val="34"/>
    <w:locked/>
    <w:rsid w:val="005A4AE9"/>
  </w:style>
  <w:style w:type="paragraph" w:customStyle="1" w:styleId="paragraph">
    <w:name w:val="paragraph"/>
    <w:basedOn w:val="Standaard"/>
    <w:rsid w:val="005A4AE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A4AE9"/>
  </w:style>
  <w:style w:type="character" w:customStyle="1" w:styleId="eop">
    <w:name w:val="eop"/>
    <w:basedOn w:val="Standaardalinea-lettertype"/>
    <w:rsid w:val="005A4AE9"/>
  </w:style>
  <w:style w:type="character" w:customStyle="1" w:styleId="contextualspellingandgrammarerror">
    <w:name w:val="contextualspellingandgrammarerror"/>
    <w:basedOn w:val="Standaardalinea-lettertype"/>
    <w:rsid w:val="005A4AE9"/>
  </w:style>
  <w:style w:type="character" w:customStyle="1" w:styleId="spellingerror">
    <w:name w:val="spellingerror"/>
    <w:basedOn w:val="Standaardalinea-lettertype"/>
    <w:rsid w:val="005A4AE9"/>
  </w:style>
  <w:style w:type="character" w:customStyle="1" w:styleId="scxw114272319">
    <w:name w:val="scxw114272319"/>
    <w:basedOn w:val="Standaardalinea-lettertype"/>
    <w:rsid w:val="005A4AE9"/>
  </w:style>
  <w:style w:type="character" w:customStyle="1" w:styleId="Kop3Char">
    <w:name w:val="Kop 3 Char"/>
    <w:basedOn w:val="Standaardalinea-lettertype"/>
    <w:link w:val="Kop3"/>
    <w:uiPriority w:val="9"/>
    <w:rsid w:val="00BD4F5D"/>
    <w:rPr>
      <w:rFonts w:asciiTheme="majorHAnsi" w:eastAsiaTheme="majorEastAsia" w:hAnsiTheme="majorHAnsi" w:cstheme="majorBidi"/>
      <w:color w:val="1F3763" w:themeColor="accent1" w:themeShade="7F"/>
      <w:sz w:val="24"/>
      <w:szCs w:val="24"/>
    </w:rPr>
  </w:style>
  <w:style w:type="paragraph" w:customStyle="1" w:styleId="Bullet">
    <w:name w:val="Bullet"/>
    <w:basedOn w:val="Lijstalinea"/>
    <w:link w:val="BulletChar"/>
    <w:qFormat/>
    <w:rsid w:val="00BA6804"/>
    <w:pPr>
      <w:spacing w:after="0" w:line="240" w:lineRule="atLeast"/>
      <w:ind w:left="0"/>
    </w:pPr>
    <w:rPr>
      <w:rFonts w:eastAsia="Times New Roman" w:cs="Times New Roman"/>
    </w:rPr>
  </w:style>
  <w:style w:type="character" w:customStyle="1" w:styleId="BulletChar">
    <w:name w:val="Bullet Char"/>
    <w:basedOn w:val="LijstalineaChar"/>
    <w:link w:val="Bullet"/>
    <w:rsid w:val="00BA680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7487">
      <w:bodyDiv w:val="1"/>
      <w:marLeft w:val="0"/>
      <w:marRight w:val="0"/>
      <w:marTop w:val="0"/>
      <w:marBottom w:val="0"/>
      <w:divBdr>
        <w:top w:val="none" w:sz="0" w:space="0" w:color="auto"/>
        <w:left w:val="none" w:sz="0" w:space="0" w:color="auto"/>
        <w:bottom w:val="none" w:sz="0" w:space="0" w:color="auto"/>
        <w:right w:val="none" w:sz="0" w:space="0" w:color="auto"/>
      </w:divBdr>
      <w:divsChild>
        <w:div w:id="55596463">
          <w:marLeft w:val="0"/>
          <w:marRight w:val="0"/>
          <w:marTop w:val="0"/>
          <w:marBottom w:val="0"/>
          <w:divBdr>
            <w:top w:val="none" w:sz="0" w:space="0" w:color="auto"/>
            <w:left w:val="none" w:sz="0" w:space="0" w:color="auto"/>
            <w:bottom w:val="none" w:sz="0" w:space="0" w:color="auto"/>
            <w:right w:val="none" w:sz="0" w:space="0" w:color="auto"/>
          </w:divBdr>
        </w:div>
        <w:div w:id="1371683053">
          <w:marLeft w:val="0"/>
          <w:marRight w:val="0"/>
          <w:marTop w:val="0"/>
          <w:marBottom w:val="0"/>
          <w:divBdr>
            <w:top w:val="none" w:sz="0" w:space="0" w:color="auto"/>
            <w:left w:val="none" w:sz="0" w:space="0" w:color="auto"/>
            <w:bottom w:val="none" w:sz="0" w:space="0" w:color="auto"/>
            <w:right w:val="none" w:sz="0" w:space="0" w:color="auto"/>
          </w:divBdr>
        </w:div>
        <w:div w:id="1482237201">
          <w:marLeft w:val="0"/>
          <w:marRight w:val="0"/>
          <w:marTop w:val="0"/>
          <w:marBottom w:val="0"/>
          <w:divBdr>
            <w:top w:val="none" w:sz="0" w:space="0" w:color="auto"/>
            <w:left w:val="none" w:sz="0" w:space="0" w:color="auto"/>
            <w:bottom w:val="none" w:sz="0" w:space="0" w:color="auto"/>
            <w:right w:val="none" w:sz="0" w:space="0" w:color="auto"/>
          </w:divBdr>
        </w:div>
        <w:div w:id="1770927078">
          <w:marLeft w:val="0"/>
          <w:marRight w:val="0"/>
          <w:marTop w:val="0"/>
          <w:marBottom w:val="0"/>
          <w:divBdr>
            <w:top w:val="none" w:sz="0" w:space="0" w:color="auto"/>
            <w:left w:val="none" w:sz="0" w:space="0" w:color="auto"/>
            <w:bottom w:val="none" w:sz="0" w:space="0" w:color="auto"/>
            <w:right w:val="none" w:sz="0" w:space="0" w:color="auto"/>
          </w:divBdr>
        </w:div>
        <w:div w:id="1903787807">
          <w:marLeft w:val="0"/>
          <w:marRight w:val="0"/>
          <w:marTop w:val="0"/>
          <w:marBottom w:val="0"/>
          <w:divBdr>
            <w:top w:val="none" w:sz="0" w:space="0" w:color="auto"/>
            <w:left w:val="none" w:sz="0" w:space="0" w:color="auto"/>
            <w:bottom w:val="none" w:sz="0" w:space="0" w:color="auto"/>
            <w:right w:val="none" w:sz="0" w:space="0" w:color="auto"/>
          </w:divBdr>
        </w:div>
      </w:divsChild>
    </w:div>
    <w:div w:id="280115082">
      <w:bodyDiv w:val="1"/>
      <w:marLeft w:val="0"/>
      <w:marRight w:val="0"/>
      <w:marTop w:val="0"/>
      <w:marBottom w:val="0"/>
      <w:divBdr>
        <w:top w:val="none" w:sz="0" w:space="0" w:color="auto"/>
        <w:left w:val="none" w:sz="0" w:space="0" w:color="auto"/>
        <w:bottom w:val="none" w:sz="0" w:space="0" w:color="auto"/>
        <w:right w:val="none" w:sz="0" w:space="0" w:color="auto"/>
      </w:divBdr>
    </w:div>
    <w:div w:id="307244221">
      <w:bodyDiv w:val="1"/>
      <w:marLeft w:val="0"/>
      <w:marRight w:val="0"/>
      <w:marTop w:val="0"/>
      <w:marBottom w:val="0"/>
      <w:divBdr>
        <w:top w:val="none" w:sz="0" w:space="0" w:color="auto"/>
        <w:left w:val="none" w:sz="0" w:space="0" w:color="auto"/>
        <w:bottom w:val="none" w:sz="0" w:space="0" w:color="auto"/>
        <w:right w:val="none" w:sz="0" w:space="0" w:color="auto"/>
      </w:divBdr>
      <w:divsChild>
        <w:div w:id="332880539">
          <w:marLeft w:val="0"/>
          <w:marRight w:val="0"/>
          <w:marTop w:val="15"/>
          <w:marBottom w:val="0"/>
          <w:divBdr>
            <w:top w:val="none" w:sz="0" w:space="0" w:color="auto"/>
            <w:left w:val="none" w:sz="0" w:space="0" w:color="auto"/>
            <w:bottom w:val="none" w:sz="0" w:space="0" w:color="auto"/>
            <w:right w:val="none" w:sz="0" w:space="0" w:color="auto"/>
          </w:divBdr>
          <w:divsChild>
            <w:div w:id="944926532">
              <w:marLeft w:val="0"/>
              <w:marRight w:val="0"/>
              <w:marTop w:val="0"/>
              <w:marBottom w:val="0"/>
              <w:divBdr>
                <w:top w:val="none" w:sz="0" w:space="0" w:color="auto"/>
                <w:left w:val="none" w:sz="0" w:space="0" w:color="auto"/>
                <w:bottom w:val="none" w:sz="0" w:space="0" w:color="auto"/>
                <w:right w:val="none" w:sz="0" w:space="0" w:color="auto"/>
              </w:divBdr>
            </w:div>
          </w:divsChild>
        </w:div>
        <w:div w:id="1123034563">
          <w:marLeft w:val="0"/>
          <w:marRight w:val="0"/>
          <w:marTop w:val="15"/>
          <w:marBottom w:val="0"/>
          <w:divBdr>
            <w:top w:val="none" w:sz="0" w:space="0" w:color="auto"/>
            <w:left w:val="none" w:sz="0" w:space="0" w:color="auto"/>
            <w:bottom w:val="none" w:sz="0" w:space="0" w:color="auto"/>
            <w:right w:val="none" w:sz="0" w:space="0" w:color="auto"/>
          </w:divBdr>
          <w:divsChild>
            <w:div w:id="141628189">
              <w:marLeft w:val="0"/>
              <w:marRight w:val="0"/>
              <w:marTop w:val="0"/>
              <w:marBottom w:val="0"/>
              <w:divBdr>
                <w:top w:val="none" w:sz="0" w:space="0" w:color="auto"/>
                <w:left w:val="none" w:sz="0" w:space="0" w:color="auto"/>
                <w:bottom w:val="none" w:sz="0" w:space="0" w:color="auto"/>
                <w:right w:val="none" w:sz="0" w:space="0" w:color="auto"/>
              </w:divBdr>
            </w:div>
          </w:divsChild>
        </w:div>
        <w:div w:id="1334576631">
          <w:marLeft w:val="0"/>
          <w:marRight w:val="0"/>
          <w:marTop w:val="15"/>
          <w:marBottom w:val="0"/>
          <w:divBdr>
            <w:top w:val="none" w:sz="0" w:space="0" w:color="auto"/>
            <w:left w:val="none" w:sz="0" w:space="0" w:color="auto"/>
            <w:bottom w:val="none" w:sz="0" w:space="0" w:color="auto"/>
            <w:right w:val="none" w:sz="0" w:space="0" w:color="auto"/>
          </w:divBdr>
          <w:divsChild>
            <w:div w:id="509219263">
              <w:marLeft w:val="0"/>
              <w:marRight w:val="0"/>
              <w:marTop w:val="0"/>
              <w:marBottom w:val="0"/>
              <w:divBdr>
                <w:top w:val="none" w:sz="0" w:space="0" w:color="auto"/>
                <w:left w:val="none" w:sz="0" w:space="0" w:color="auto"/>
                <w:bottom w:val="none" w:sz="0" w:space="0" w:color="auto"/>
                <w:right w:val="none" w:sz="0" w:space="0" w:color="auto"/>
              </w:divBdr>
            </w:div>
          </w:divsChild>
        </w:div>
        <w:div w:id="1496217389">
          <w:marLeft w:val="0"/>
          <w:marRight w:val="0"/>
          <w:marTop w:val="15"/>
          <w:marBottom w:val="0"/>
          <w:divBdr>
            <w:top w:val="none" w:sz="0" w:space="0" w:color="auto"/>
            <w:left w:val="none" w:sz="0" w:space="0" w:color="auto"/>
            <w:bottom w:val="none" w:sz="0" w:space="0" w:color="auto"/>
            <w:right w:val="none" w:sz="0" w:space="0" w:color="auto"/>
          </w:divBdr>
          <w:divsChild>
            <w:div w:id="1808619375">
              <w:marLeft w:val="0"/>
              <w:marRight w:val="0"/>
              <w:marTop w:val="0"/>
              <w:marBottom w:val="0"/>
              <w:divBdr>
                <w:top w:val="none" w:sz="0" w:space="0" w:color="auto"/>
                <w:left w:val="none" w:sz="0" w:space="0" w:color="auto"/>
                <w:bottom w:val="none" w:sz="0" w:space="0" w:color="auto"/>
                <w:right w:val="none" w:sz="0" w:space="0" w:color="auto"/>
              </w:divBdr>
            </w:div>
          </w:divsChild>
        </w:div>
        <w:div w:id="1523351440">
          <w:marLeft w:val="0"/>
          <w:marRight w:val="0"/>
          <w:marTop w:val="15"/>
          <w:marBottom w:val="0"/>
          <w:divBdr>
            <w:top w:val="none" w:sz="0" w:space="0" w:color="auto"/>
            <w:left w:val="none" w:sz="0" w:space="0" w:color="auto"/>
            <w:bottom w:val="none" w:sz="0" w:space="0" w:color="auto"/>
            <w:right w:val="none" w:sz="0" w:space="0" w:color="auto"/>
          </w:divBdr>
          <w:divsChild>
            <w:div w:id="1245990419">
              <w:marLeft w:val="0"/>
              <w:marRight w:val="0"/>
              <w:marTop w:val="0"/>
              <w:marBottom w:val="0"/>
              <w:divBdr>
                <w:top w:val="none" w:sz="0" w:space="0" w:color="auto"/>
                <w:left w:val="none" w:sz="0" w:space="0" w:color="auto"/>
                <w:bottom w:val="none" w:sz="0" w:space="0" w:color="auto"/>
                <w:right w:val="none" w:sz="0" w:space="0" w:color="auto"/>
              </w:divBdr>
            </w:div>
          </w:divsChild>
        </w:div>
        <w:div w:id="1533762661">
          <w:marLeft w:val="0"/>
          <w:marRight w:val="0"/>
          <w:marTop w:val="15"/>
          <w:marBottom w:val="0"/>
          <w:divBdr>
            <w:top w:val="none" w:sz="0" w:space="0" w:color="auto"/>
            <w:left w:val="none" w:sz="0" w:space="0" w:color="auto"/>
            <w:bottom w:val="none" w:sz="0" w:space="0" w:color="auto"/>
            <w:right w:val="none" w:sz="0" w:space="0" w:color="auto"/>
          </w:divBdr>
          <w:divsChild>
            <w:div w:id="16682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1519">
      <w:bodyDiv w:val="1"/>
      <w:marLeft w:val="0"/>
      <w:marRight w:val="0"/>
      <w:marTop w:val="0"/>
      <w:marBottom w:val="0"/>
      <w:divBdr>
        <w:top w:val="none" w:sz="0" w:space="0" w:color="auto"/>
        <w:left w:val="none" w:sz="0" w:space="0" w:color="auto"/>
        <w:bottom w:val="none" w:sz="0" w:space="0" w:color="auto"/>
        <w:right w:val="none" w:sz="0" w:space="0" w:color="auto"/>
      </w:divBdr>
    </w:div>
    <w:div w:id="524713535">
      <w:bodyDiv w:val="1"/>
      <w:marLeft w:val="0"/>
      <w:marRight w:val="0"/>
      <w:marTop w:val="0"/>
      <w:marBottom w:val="0"/>
      <w:divBdr>
        <w:top w:val="none" w:sz="0" w:space="0" w:color="auto"/>
        <w:left w:val="none" w:sz="0" w:space="0" w:color="auto"/>
        <w:bottom w:val="none" w:sz="0" w:space="0" w:color="auto"/>
        <w:right w:val="none" w:sz="0" w:space="0" w:color="auto"/>
      </w:divBdr>
    </w:div>
    <w:div w:id="701780616">
      <w:bodyDiv w:val="1"/>
      <w:marLeft w:val="0"/>
      <w:marRight w:val="0"/>
      <w:marTop w:val="0"/>
      <w:marBottom w:val="0"/>
      <w:divBdr>
        <w:top w:val="none" w:sz="0" w:space="0" w:color="auto"/>
        <w:left w:val="none" w:sz="0" w:space="0" w:color="auto"/>
        <w:bottom w:val="none" w:sz="0" w:space="0" w:color="auto"/>
        <w:right w:val="none" w:sz="0" w:space="0" w:color="auto"/>
      </w:divBdr>
    </w:div>
    <w:div w:id="855000404">
      <w:bodyDiv w:val="1"/>
      <w:marLeft w:val="0"/>
      <w:marRight w:val="0"/>
      <w:marTop w:val="0"/>
      <w:marBottom w:val="0"/>
      <w:divBdr>
        <w:top w:val="none" w:sz="0" w:space="0" w:color="auto"/>
        <w:left w:val="none" w:sz="0" w:space="0" w:color="auto"/>
        <w:bottom w:val="none" w:sz="0" w:space="0" w:color="auto"/>
        <w:right w:val="none" w:sz="0" w:space="0" w:color="auto"/>
      </w:divBdr>
    </w:div>
    <w:div w:id="1139299732">
      <w:bodyDiv w:val="1"/>
      <w:marLeft w:val="0"/>
      <w:marRight w:val="0"/>
      <w:marTop w:val="0"/>
      <w:marBottom w:val="0"/>
      <w:divBdr>
        <w:top w:val="none" w:sz="0" w:space="0" w:color="auto"/>
        <w:left w:val="none" w:sz="0" w:space="0" w:color="auto"/>
        <w:bottom w:val="none" w:sz="0" w:space="0" w:color="auto"/>
        <w:right w:val="none" w:sz="0" w:space="0" w:color="auto"/>
      </w:divBdr>
      <w:divsChild>
        <w:div w:id="450365915">
          <w:marLeft w:val="0"/>
          <w:marRight w:val="0"/>
          <w:marTop w:val="15"/>
          <w:marBottom w:val="0"/>
          <w:divBdr>
            <w:top w:val="none" w:sz="0" w:space="0" w:color="auto"/>
            <w:left w:val="none" w:sz="0" w:space="0" w:color="auto"/>
            <w:bottom w:val="none" w:sz="0" w:space="0" w:color="auto"/>
            <w:right w:val="none" w:sz="0" w:space="0" w:color="auto"/>
          </w:divBdr>
          <w:divsChild>
            <w:div w:id="1230531195">
              <w:marLeft w:val="0"/>
              <w:marRight w:val="0"/>
              <w:marTop w:val="0"/>
              <w:marBottom w:val="0"/>
              <w:divBdr>
                <w:top w:val="none" w:sz="0" w:space="0" w:color="auto"/>
                <w:left w:val="none" w:sz="0" w:space="0" w:color="auto"/>
                <w:bottom w:val="none" w:sz="0" w:space="0" w:color="auto"/>
                <w:right w:val="none" w:sz="0" w:space="0" w:color="auto"/>
              </w:divBdr>
            </w:div>
          </w:divsChild>
        </w:div>
        <w:div w:id="568854477">
          <w:marLeft w:val="0"/>
          <w:marRight w:val="0"/>
          <w:marTop w:val="15"/>
          <w:marBottom w:val="0"/>
          <w:divBdr>
            <w:top w:val="none" w:sz="0" w:space="0" w:color="auto"/>
            <w:left w:val="none" w:sz="0" w:space="0" w:color="auto"/>
            <w:bottom w:val="none" w:sz="0" w:space="0" w:color="auto"/>
            <w:right w:val="none" w:sz="0" w:space="0" w:color="auto"/>
          </w:divBdr>
          <w:divsChild>
            <w:div w:id="540097518">
              <w:marLeft w:val="0"/>
              <w:marRight w:val="0"/>
              <w:marTop w:val="0"/>
              <w:marBottom w:val="0"/>
              <w:divBdr>
                <w:top w:val="none" w:sz="0" w:space="0" w:color="auto"/>
                <w:left w:val="none" w:sz="0" w:space="0" w:color="auto"/>
                <w:bottom w:val="none" w:sz="0" w:space="0" w:color="auto"/>
                <w:right w:val="none" w:sz="0" w:space="0" w:color="auto"/>
              </w:divBdr>
            </w:div>
          </w:divsChild>
        </w:div>
        <w:div w:id="652638691">
          <w:marLeft w:val="0"/>
          <w:marRight w:val="0"/>
          <w:marTop w:val="15"/>
          <w:marBottom w:val="0"/>
          <w:divBdr>
            <w:top w:val="none" w:sz="0" w:space="0" w:color="auto"/>
            <w:left w:val="none" w:sz="0" w:space="0" w:color="auto"/>
            <w:bottom w:val="none" w:sz="0" w:space="0" w:color="auto"/>
            <w:right w:val="none" w:sz="0" w:space="0" w:color="auto"/>
          </w:divBdr>
          <w:divsChild>
            <w:div w:id="387455733">
              <w:marLeft w:val="0"/>
              <w:marRight w:val="0"/>
              <w:marTop w:val="0"/>
              <w:marBottom w:val="0"/>
              <w:divBdr>
                <w:top w:val="none" w:sz="0" w:space="0" w:color="auto"/>
                <w:left w:val="none" w:sz="0" w:space="0" w:color="auto"/>
                <w:bottom w:val="none" w:sz="0" w:space="0" w:color="auto"/>
                <w:right w:val="none" w:sz="0" w:space="0" w:color="auto"/>
              </w:divBdr>
            </w:div>
          </w:divsChild>
        </w:div>
        <w:div w:id="674578755">
          <w:marLeft w:val="0"/>
          <w:marRight w:val="0"/>
          <w:marTop w:val="15"/>
          <w:marBottom w:val="0"/>
          <w:divBdr>
            <w:top w:val="none" w:sz="0" w:space="0" w:color="auto"/>
            <w:left w:val="none" w:sz="0" w:space="0" w:color="auto"/>
            <w:bottom w:val="none" w:sz="0" w:space="0" w:color="auto"/>
            <w:right w:val="none" w:sz="0" w:space="0" w:color="auto"/>
          </w:divBdr>
          <w:divsChild>
            <w:div w:id="493228355">
              <w:marLeft w:val="0"/>
              <w:marRight w:val="0"/>
              <w:marTop w:val="0"/>
              <w:marBottom w:val="0"/>
              <w:divBdr>
                <w:top w:val="none" w:sz="0" w:space="0" w:color="auto"/>
                <w:left w:val="none" w:sz="0" w:space="0" w:color="auto"/>
                <w:bottom w:val="none" w:sz="0" w:space="0" w:color="auto"/>
                <w:right w:val="none" w:sz="0" w:space="0" w:color="auto"/>
              </w:divBdr>
            </w:div>
          </w:divsChild>
        </w:div>
        <w:div w:id="1587885716">
          <w:marLeft w:val="0"/>
          <w:marRight w:val="0"/>
          <w:marTop w:val="15"/>
          <w:marBottom w:val="0"/>
          <w:divBdr>
            <w:top w:val="none" w:sz="0" w:space="0" w:color="auto"/>
            <w:left w:val="none" w:sz="0" w:space="0" w:color="auto"/>
            <w:bottom w:val="none" w:sz="0" w:space="0" w:color="auto"/>
            <w:right w:val="none" w:sz="0" w:space="0" w:color="auto"/>
          </w:divBdr>
          <w:divsChild>
            <w:div w:id="454181715">
              <w:marLeft w:val="0"/>
              <w:marRight w:val="0"/>
              <w:marTop w:val="0"/>
              <w:marBottom w:val="0"/>
              <w:divBdr>
                <w:top w:val="none" w:sz="0" w:space="0" w:color="auto"/>
                <w:left w:val="none" w:sz="0" w:space="0" w:color="auto"/>
                <w:bottom w:val="none" w:sz="0" w:space="0" w:color="auto"/>
                <w:right w:val="none" w:sz="0" w:space="0" w:color="auto"/>
              </w:divBdr>
            </w:div>
          </w:divsChild>
        </w:div>
        <w:div w:id="1750270523">
          <w:marLeft w:val="0"/>
          <w:marRight w:val="0"/>
          <w:marTop w:val="15"/>
          <w:marBottom w:val="0"/>
          <w:divBdr>
            <w:top w:val="none" w:sz="0" w:space="0" w:color="auto"/>
            <w:left w:val="none" w:sz="0" w:space="0" w:color="auto"/>
            <w:bottom w:val="none" w:sz="0" w:space="0" w:color="auto"/>
            <w:right w:val="none" w:sz="0" w:space="0" w:color="auto"/>
          </w:divBdr>
          <w:divsChild>
            <w:div w:id="1524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2797">
      <w:bodyDiv w:val="1"/>
      <w:marLeft w:val="0"/>
      <w:marRight w:val="0"/>
      <w:marTop w:val="0"/>
      <w:marBottom w:val="0"/>
      <w:divBdr>
        <w:top w:val="none" w:sz="0" w:space="0" w:color="auto"/>
        <w:left w:val="none" w:sz="0" w:space="0" w:color="auto"/>
        <w:bottom w:val="none" w:sz="0" w:space="0" w:color="auto"/>
        <w:right w:val="none" w:sz="0" w:space="0" w:color="auto"/>
      </w:divBdr>
      <w:divsChild>
        <w:div w:id="158466605">
          <w:marLeft w:val="0"/>
          <w:marRight w:val="0"/>
          <w:marTop w:val="15"/>
          <w:marBottom w:val="0"/>
          <w:divBdr>
            <w:top w:val="none" w:sz="0" w:space="0" w:color="auto"/>
            <w:left w:val="none" w:sz="0" w:space="0" w:color="auto"/>
            <w:bottom w:val="none" w:sz="0" w:space="0" w:color="auto"/>
            <w:right w:val="none" w:sz="0" w:space="0" w:color="auto"/>
          </w:divBdr>
          <w:divsChild>
            <w:div w:id="1069616746">
              <w:marLeft w:val="0"/>
              <w:marRight w:val="0"/>
              <w:marTop w:val="0"/>
              <w:marBottom w:val="0"/>
              <w:divBdr>
                <w:top w:val="none" w:sz="0" w:space="0" w:color="auto"/>
                <w:left w:val="none" w:sz="0" w:space="0" w:color="auto"/>
                <w:bottom w:val="none" w:sz="0" w:space="0" w:color="auto"/>
                <w:right w:val="none" w:sz="0" w:space="0" w:color="auto"/>
              </w:divBdr>
            </w:div>
          </w:divsChild>
        </w:div>
        <w:div w:id="401371113">
          <w:marLeft w:val="0"/>
          <w:marRight w:val="0"/>
          <w:marTop w:val="15"/>
          <w:marBottom w:val="0"/>
          <w:divBdr>
            <w:top w:val="none" w:sz="0" w:space="0" w:color="auto"/>
            <w:left w:val="none" w:sz="0" w:space="0" w:color="auto"/>
            <w:bottom w:val="none" w:sz="0" w:space="0" w:color="auto"/>
            <w:right w:val="none" w:sz="0" w:space="0" w:color="auto"/>
          </w:divBdr>
          <w:divsChild>
            <w:div w:id="1539466428">
              <w:marLeft w:val="0"/>
              <w:marRight w:val="0"/>
              <w:marTop w:val="0"/>
              <w:marBottom w:val="0"/>
              <w:divBdr>
                <w:top w:val="none" w:sz="0" w:space="0" w:color="auto"/>
                <w:left w:val="none" w:sz="0" w:space="0" w:color="auto"/>
                <w:bottom w:val="none" w:sz="0" w:space="0" w:color="auto"/>
                <w:right w:val="none" w:sz="0" w:space="0" w:color="auto"/>
              </w:divBdr>
            </w:div>
          </w:divsChild>
        </w:div>
        <w:div w:id="622418740">
          <w:marLeft w:val="0"/>
          <w:marRight w:val="0"/>
          <w:marTop w:val="15"/>
          <w:marBottom w:val="0"/>
          <w:divBdr>
            <w:top w:val="none" w:sz="0" w:space="0" w:color="auto"/>
            <w:left w:val="none" w:sz="0" w:space="0" w:color="auto"/>
            <w:bottom w:val="none" w:sz="0" w:space="0" w:color="auto"/>
            <w:right w:val="none" w:sz="0" w:space="0" w:color="auto"/>
          </w:divBdr>
          <w:divsChild>
            <w:div w:id="180441652">
              <w:marLeft w:val="0"/>
              <w:marRight w:val="0"/>
              <w:marTop w:val="0"/>
              <w:marBottom w:val="0"/>
              <w:divBdr>
                <w:top w:val="none" w:sz="0" w:space="0" w:color="auto"/>
                <w:left w:val="none" w:sz="0" w:space="0" w:color="auto"/>
                <w:bottom w:val="none" w:sz="0" w:space="0" w:color="auto"/>
                <w:right w:val="none" w:sz="0" w:space="0" w:color="auto"/>
              </w:divBdr>
            </w:div>
          </w:divsChild>
        </w:div>
        <w:div w:id="1001280401">
          <w:marLeft w:val="0"/>
          <w:marRight w:val="0"/>
          <w:marTop w:val="15"/>
          <w:marBottom w:val="0"/>
          <w:divBdr>
            <w:top w:val="none" w:sz="0" w:space="0" w:color="auto"/>
            <w:left w:val="none" w:sz="0" w:space="0" w:color="auto"/>
            <w:bottom w:val="none" w:sz="0" w:space="0" w:color="auto"/>
            <w:right w:val="none" w:sz="0" w:space="0" w:color="auto"/>
          </w:divBdr>
          <w:divsChild>
            <w:div w:id="1018778908">
              <w:marLeft w:val="0"/>
              <w:marRight w:val="0"/>
              <w:marTop w:val="0"/>
              <w:marBottom w:val="0"/>
              <w:divBdr>
                <w:top w:val="none" w:sz="0" w:space="0" w:color="auto"/>
                <w:left w:val="none" w:sz="0" w:space="0" w:color="auto"/>
                <w:bottom w:val="none" w:sz="0" w:space="0" w:color="auto"/>
                <w:right w:val="none" w:sz="0" w:space="0" w:color="auto"/>
              </w:divBdr>
            </w:div>
          </w:divsChild>
        </w:div>
        <w:div w:id="1841844772">
          <w:marLeft w:val="0"/>
          <w:marRight w:val="0"/>
          <w:marTop w:val="15"/>
          <w:marBottom w:val="0"/>
          <w:divBdr>
            <w:top w:val="none" w:sz="0" w:space="0" w:color="auto"/>
            <w:left w:val="none" w:sz="0" w:space="0" w:color="auto"/>
            <w:bottom w:val="none" w:sz="0" w:space="0" w:color="auto"/>
            <w:right w:val="none" w:sz="0" w:space="0" w:color="auto"/>
          </w:divBdr>
          <w:divsChild>
            <w:div w:id="176046177">
              <w:marLeft w:val="0"/>
              <w:marRight w:val="0"/>
              <w:marTop w:val="0"/>
              <w:marBottom w:val="0"/>
              <w:divBdr>
                <w:top w:val="none" w:sz="0" w:space="0" w:color="auto"/>
                <w:left w:val="none" w:sz="0" w:space="0" w:color="auto"/>
                <w:bottom w:val="none" w:sz="0" w:space="0" w:color="auto"/>
                <w:right w:val="none" w:sz="0" w:space="0" w:color="auto"/>
              </w:divBdr>
            </w:div>
          </w:divsChild>
        </w:div>
        <w:div w:id="1862888781">
          <w:marLeft w:val="0"/>
          <w:marRight w:val="0"/>
          <w:marTop w:val="15"/>
          <w:marBottom w:val="0"/>
          <w:divBdr>
            <w:top w:val="none" w:sz="0" w:space="0" w:color="auto"/>
            <w:left w:val="none" w:sz="0" w:space="0" w:color="auto"/>
            <w:bottom w:val="none" w:sz="0" w:space="0" w:color="auto"/>
            <w:right w:val="none" w:sz="0" w:space="0" w:color="auto"/>
          </w:divBdr>
          <w:divsChild>
            <w:div w:id="19637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84">
      <w:bodyDiv w:val="1"/>
      <w:marLeft w:val="0"/>
      <w:marRight w:val="0"/>
      <w:marTop w:val="0"/>
      <w:marBottom w:val="0"/>
      <w:divBdr>
        <w:top w:val="none" w:sz="0" w:space="0" w:color="auto"/>
        <w:left w:val="none" w:sz="0" w:space="0" w:color="auto"/>
        <w:bottom w:val="none" w:sz="0" w:space="0" w:color="auto"/>
        <w:right w:val="none" w:sz="0" w:space="0" w:color="auto"/>
      </w:divBdr>
      <w:divsChild>
        <w:div w:id="821044817">
          <w:marLeft w:val="0"/>
          <w:marRight w:val="0"/>
          <w:marTop w:val="0"/>
          <w:marBottom w:val="0"/>
          <w:divBdr>
            <w:top w:val="none" w:sz="0" w:space="0" w:color="auto"/>
            <w:left w:val="none" w:sz="0" w:space="0" w:color="auto"/>
            <w:bottom w:val="none" w:sz="0" w:space="0" w:color="auto"/>
            <w:right w:val="none" w:sz="0" w:space="0" w:color="auto"/>
          </w:divBdr>
        </w:div>
        <w:div w:id="1166625646">
          <w:marLeft w:val="0"/>
          <w:marRight w:val="0"/>
          <w:marTop w:val="0"/>
          <w:marBottom w:val="0"/>
          <w:divBdr>
            <w:top w:val="none" w:sz="0" w:space="0" w:color="auto"/>
            <w:left w:val="none" w:sz="0" w:space="0" w:color="auto"/>
            <w:bottom w:val="none" w:sz="0" w:space="0" w:color="auto"/>
            <w:right w:val="none" w:sz="0" w:space="0" w:color="auto"/>
          </w:divBdr>
        </w:div>
        <w:div w:id="1430740330">
          <w:marLeft w:val="0"/>
          <w:marRight w:val="0"/>
          <w:marTop w:val="0"/>
          <w:marBottom w:val="0"/>
          <w:divBdr>
            <w:top w:val="none" w:sz="0" w:space="0" w:color="auto"/>
            <w:left w:val="none" w:sz="0" w:space="0" w:color="auto"/>
            <w:bottom w:val="none" w:sz="0" w:space="0" w:color="auto"/>
            <w:right w:val="none" w:sz="0" w:space="0" w:color="auto"/>
          </w:divBdr>
        </w:div>
        <w:div w:id="1600793695">
          <w:marLeft w:val="0"/>
          <w:marRight w:val="0"/>
          <w:marTop w:val="0"/>
          <w:marBottom w:val="0"/>
          <w:divBdr>
            <w:top w:val="none" w:sz="0" w:space="0" w:color="auto"/>
            <w:left w:val="none" w:sz="0" w:space="0" w:color="auto"/>
            <w:bottom w:val="none" w:sz="0" w:space="0" w:color="auto"/>
            <w:right w:val="none" w:sz="0" w:space="0" w:color="auto"/>
          </w:divBdr>
        </w:div>
        <w:div w:id="170571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basisbereikbaarheid/masterplan-toegankelijkheid.be" TargetMode="External"/><Relationship Id="rId5" Type="http://schemas.openxmlformats.org/officeDocument/2006/relationships/numbering" Target="numbering.xml"/><Relationship Id="rId10" Type="http://schemas.openxmlformats.org/officeDocument/2006/relationships/hyperlink" Target="https://delijnstagingstatic.addelijn.be/Images/Bushaltegids%202.0_tcm3-27539.pdf" TargetMode="External"/><Relationship Id="rId4" Type="http://schemas.openxmlformats.org/officeDocument/2006/relationships/customXml" Target="../customXml/item4.xml"/><Relationship Id="rId9" Type="http://schemas.openxmlformats.org/officeDocument/2006/relationships/hyperlink" Target="https://delijnstagingstatic.addelijn.be/Images/toegankelijke_haltes_2021_tcm3-27057.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03263C8B4264409134D18C731A4580" ma:contentTypeVersion="9" ma:contentTypeDescription="Create a new document." ma:contentTypeScope="" ma:versionID="fef36cd7a29800103810f0647024e7b5">
  <xsd:schema xmlns:xsd="http://www.w3.org/2001/XMLSchema" xmlns:xs="http://www.w3.org/2001/XMLSchema" xmlns:p="http://schemas.microsoft.com/office/2006/metadata/properties" xmlns:ns3="b298fbd2-9169-4098-8644-002401a9a582" targetNamespace="http://schemas.microsoft.com/office/2006/metadata/properties" ma:root="true" ma:fieldsID="061a858d01723bd94902859c0c7911fe" ns3:_="">
    <xsd:import namespace="b298fbd2-9169-4098-8644-002401a9a5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fbd2-9169-4098-8644-002401a9a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2360A-B421-4556-B432-FBDA5AC4C4BC}">
  <ds:schemaRefs>
    <ds:schemaRef ds:uri="http://schemas.openxmlformats.org/officeDocument/2006/bibliography"/>
  </ds:schemaRefs>
</ds:datastoreItem>
</file>

<file path=customXml/itemProps2.xml><?xml version="1.0" encoding="utf-8"?>
<ds:datastoreItem xmlns:ds="http://schemas.openxmlformats.org/officeDocument/2006/customXml" ds:itemID="{B2648625-FE83-4CC8-BDAF-EAF19CFC1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fbd2-9169-4098-8644-002401a9a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C2633-D734-467F-83E2-A993CD205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95B4E-E528-400C-B349-158057E84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Leersnyder Justine</dc:creator>
  <cp:keywords/>
  <dc:description/>
  <cp:lastModifiedBy>Eddy Gielis</cp:lastModifiedBy>
  <cp:revision>2</cp:revision>
  <dcterms:created xsi:type="dcterms:W3CDTF">2021-04-15T13:50:00Z</dcterms:created>
  <dcterms:modified xsi:type="dcterms:W3CDTF">2021-04-15T13:50:00Z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0x0101009103263C8B4264409134D18C731A4580</vt:lpwstr>
  </property>
</Properties>
</file>